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eastAsia="宋体"/>
          <w:b/>
          <w:bCs/>
          <w:sz w:val="52"/>
          <w:szCs w:val="52"/>
          <w:lang w:eastAsia="zh-CN"/>
        </w:rPr>
      </w:pPr>
      <w:bookmarkStart w:id="0" w:name="_Toc152042286"/>
      <w:bookmarkStart w:id="1" w:name="_Toc144974478"/>
      <w:r>
        <w:rPr>
          <w:rFonts w:hint="eastAsia"/>
          <w:b/>
          <w:bCs/>
          <w:sz w:val="52"/>
          <w:szCs w:val="52"/>
          <w:lang w:eastAsia="zh-CN"/>
        </w:rPr>
        <w:t>【平公资采20231006号】</w:t>
      </w:r>
      <w:bookmarkStart w:id="317" w:name="_GoBack"/>
      <w:bookmarkEnd w:id="317"/>
      <w:r>
        <w:rPr>
          <w:rFonts w:hint="eastAsia"/>
          <w:b/>
          <w:bCs/>
          <w:sz w:val="52"/>
          <w:szCs w:val="52"/>
          <w:lang w:eastAsia="zh-CN"/>
        </w:rPr>
        <w:t>平顶山市卫东区农业农村和水利局2023年卫东区光华路街道0.3万亩高标准农田建设项目</w:t>
      </w:r>
    </w:p>
    <w:p>
      <w:pPr>
        <w:rPr>
          <w:rFonts w:hint="eastAsia"/>
        </w:rPr>
      </w:pPr>
    </w:p>
    <w:p>
      <w:pPr>
        <w:rPr>
          <w:rFonts w:hint="eastAsia" w:ascii="宋体" w:hAnsi="宋体" w:eastAsia="宋体"/>
          <w:b/>
          <w:bCs/>
          <w:szCs w:val="21"/>
        </w:rPr>
      </w:pPr>
    </w:p>
    <w:p>
      <w:pPr>
        <w:rPr>
          <w:rFonts w:hint="eastAsia" w:ascii="宋体" w:hAnsi="宋体" w:eastAsia="宋体"/>
          <w:b/>
          <w:bCs/>
          <w:szCs w:val="21"/>
        </w:rPr>
      </w:pPr>
    </w:p>
    <w:p>
      <w:pPr>
        <w:rPr>
          <w:rFonts w:hint="eastAsia" w:ascii="宋体" w:hAnsi="宋体" w:eastAsia="宋体"/>
          <w:b/>
          <w:bCs/>
          <w:szCs w:val="21"/>
        </w:rPr>
      </w:pPr>
    </w:p>
    <w:p>
      <w:pPr>
        <w:rPr>
          <w:rFonts w:hint="eastAsia" w:ascii="宋体" w:hAnsi="宋体" w:eastAsia="宋体"/>
          <w:b/>
          <w:bCs/>
          <w:szCs w:val="21"/>
        </w:rPr>
      </w:pPr>
    </w:p>
    <w:p>
      <w:pPr>
        <w:spacing w:line="360" w:lineRule="auto"/>
        <w:ind w:firstLine="0"/>
        <w:jc w:val="center"/>
        <w:rPr>
          <w:rFonts w:hint="eastAsia" w:ascii="宋体" w:hAnsi="宋体" w:eastAsia="宋体"/>
          <w:b/>
          <w:bCs/>
          <w:szCs w:val="21"/>
        </w:rPr>
      </w:pPr>
    </w:p>
    <w:p>
      <w:pPr>
        <w:spacing w:line="360" w:lineRule="auto"/>
        <w:ind w:firstLine="0"/>
        <w:jc w:val="center"/>
        <w:rPr>
          <w:rFonts w:hint="eastAsia" w:ascii="宋体" w:hAnsi="宋体" w:eastAsia="宋体"/>
          <w:b/>
          <w:bCs/>
          <w:sz w:val="84"/>
          <w:szCs w:val="84"/>
        </w:rPr>
      </w:pPr>
      <w:r>
        <w:rPr>
          <w:rFonts w:hint="eastAsia" w:ascii="宋体" w:hAnsi="宋体" w:eastAsia="宋体"/>
          <w:b/>
          <w:bCs/>
          <w:sz w:val="72"/>
          <w:szCs w:val="72"/>
          <w:lang w:val="en-US" w:eastAsia="zh-CN"/>
        </w:rPr>
        <w:t>竞争性磋商</w:t>
      </w:r>
      <w:r>
        <w:rPr>
          <w:rFonts w:hint="eastAsia" w:ascii="宋体" w:hAnsi="宋体" w:eastAsia="宋体"/>
          <w:b/>
          <w:bCs/>
          <w:sz w:val="72"/>
          <w:szCs w:val="72"/>
        </w:rPr>
        <w:t>文件</w:t>
      </w:r>
    </w:p>
    <w:p>
      <w:pPr>
        <w:spacing w:line="360" w:lineRule="auto"/>
        <w:ind w:firstLine="3171" w:firstLineChars="987"/>
        <w:jc w:val="left"/>
        <w:rPr>
          <w:rFonts w:hint="default" w:ascii="宋体" w:hAnsi="宋体" w:eastAsia="宋体"/>
          <w:b/>
          <w:bCs/>
          <w:szCs w:val="21"/>
          <w:highlight w:val="none"/>
          <w:u w:val="single"/>
          <w:lang w:val="en-US" w:eastAsia="zh-CN"/>
        </w:rPr>
      </w:pPr>
      <w:r>
        <w:rPr>
          <w:rFonts w:hint="eastAsia" w:ascii="宋体" w:hAnsi="宋体" w:eastAsia="宋体"/>
          <w:b/>
          <w:bCs/>
          <w:color w:val="auto"/>
          <w:sz w:val="32"/>
          <w:szCs w:val="32"/>
          <w:highlight w:val="none"/>
          <w:lang w:val="en-US" w:eastAsia="zh-CN"/>
        </w:rPr>
        <w:t>采购</w:t>
      </w:r>
      <w:r>
        <w:rPr>
          <w:rFonts w:hint="eastAsia" w:ascii="宋体" w:hAnsi="宋体" w:eastAsia="宋体"/>
          <w:b/>
          <w:bCs/>
          <w:color w:val="auto"/>
          <w:sz w:val="32"/>
          <w:szCs w:val="32"/>
          <w:highlight w:val="none"/>
        </w:rPr>
        <w:t>编号:</w:t>
      </w:r>
      <w:r>
        <w:rPr>
          <w:rFonts w:hint="eastAsia" w:ascii="宋体" w:hAnsi="宋体" w:eastAsia="宋体"/>
          <w:b/>
          <w:bCs/>
          <w:color w:val="auto"/>
          <w:sz w:val="32"/>
          <w:szCs w:val="32"/>
          <w:highlight w:val="none"/>
          <w:lang w:val="en-US" w:eastAsia="zh-CN"/>
        </w:rPr>
        <w:t>2023-08-8</w:t>
      </w:r>
    </w:p>
    <w:p>
      <w:pPr>
        <w:spacing w:line="360" w:lineRule="auto"/>
        <w:ind w:firstLine="2951" w:firstLineChars="1050"/>
        <w:rPr>
          <w:rFonts w:hint="eastAsia" w:ascii="宋体" w:hAnsi="宋体" w:eastAsia="宋体"/>
          <w:b/>
          <w:bCs/>
          <w:sz w:val="28"/>
          <w:szCs w:val="28"/>
        </w:rPr>
      </w:pPr>
    </w:p>
    <w:p>
      <w:pPr>
        <w:spacing w:line="360" w:lineRule="auto"/>
        <w:ind w:firstLine="2951" w:firstLineChars="1050"/>
        <w:rPr>
          <w:rFonts w:hint="eastAsia" w:ascii="宋体" w:hAnsi="宋体" w:eastAsia="宋体"/>
          <w:b/>
          <w:bCs/>
          <w:sz w:val="28"/>
          <w:szCs w:val="28"/>
        </w:rPr>
      </w:pPr>
    </w:p>
    <w:p>
      <w:pPr>
        <w:spacing w:line="360" w:lineRule="auto"/>
        <w:ind w:firstLine="2951" w:firstLineChars="1050"/>
        <w:rPr>
          <w:rFonts w:hint="eastAsia" w:ascii="宋体" w:hAnsi="宋体" w:eastAsia="宋体"/>
          <w:b/>
          <w:bCs/>
          <w:sz w:val="28"/>
          <w:szCs w:val="28"/>
        </w:rPr>
      </w:pPr>
    </w:p>
    <w:p>
      <w:pPr>
        <w:spacing w:before="156"/>
        <w:ind w:firstLine="0"/>
        <w:rPr>
          <w:rFonts w:hint="eastAsia" w:ascii="宋体" w:hAnsi="宋体"/>
          <w:b/>
          <w:bCs/>
        </w:rPr>
      </w:pPr>
    </w:p>
    <w:p>
      <w:pPr>
        <w:spacing w:before="156"/>
        <w:ind w:firstLine="0"/>
        <w:rPr>
          <w:rFonts w:hint="eastAsia"/>
        </w:rPr>
      </w:pPr>
    </w:p>
    <w:p>
      <w:pPr>
        <w:spacing w:before="156"/>
        <w:ind w:firstLine="0"/>
        <w:rPr>
          <w:rFonts w:hint="eastAsia"/>
        </w:rPr>
      </w:pPr>
    </w:p>
    <w:p>
      <w:pPr>
        <w:spacing w:before="156"/>
        <w:ind w:firstLine="0"/>
        <w:rPr>
          <w:rFonts w:hint="eastAsia"/>
        </w:rPr>
      </w:pPr>
    </w:p>
    <w:p>
      <w:pPr>
        <w:spacing w:line="360" w:lineRule="auto"/>
        <w:ind w:firstLine="2951" w:firstLineChars="1050"/>
        <w:rPr>
          <w:rFonts w:hint="eastAsia" w:ascii="宋体" w:hAnsi="宋体" w:eastAsia="宋体"/>
          <w:b/>
          <w:bCs/>
          <w:sz w:val="28"/>
          <w:szCs w:val="28"/>
        </w:rPr>
      </w:pPr>
    </w:p>
    <w:p>
      <w:pPr>
        <w:spacing w:line="360" w:lineRule="auto"/>
        <w:ind w:firstLine="1285" w:firstLineChars="400"/>
        <w:rPr>
          <w:rFonts w:hint="eastAsia"/>
          <w:b/>
          <w:bCs/>
          <w:sz w:val="32"/>
          <w:szCs w:val="32"/>
        </w:rPr>
      </w:pPr>
      <w:r>
        <w:rPr>
          <w:rFonts w:hint="eastAsia"/>
          <w:b/>
          <w:bCs/>
          <w:sz w:val="32"/>
          <w:szCs w:val="32"/>
          <w:lang w:val="en-US" w:eastAsia="zh-CN"/>
        </w:rPr>
        <w:t>采   购</w:t>
      </w:r>
      <w:r>
        <w:rPr>
          <w:rFonts w:hint="eastAsia"/>
          <w:b/>
          <w:bCs/>
          <w:sz w:val="32"/>
          <w:szCs w:val="32"/>
        </w:rPr>
        <w:t xml:space="preserve">   人：平顶山市卫东区农业农村和水利局</w:t>
      </w:r>
    </w:p>
    <w:p>
      <w:pPr>
        <w:spacing w:line="360" w:lineRule="auto"/>
        <w:ind w:firstLine="1285" w:firstLineChars="400"/>
        <w:rPr>
          <w:rFonts w:hint="eastAsia" w:eastAsia="宋体"/>
          <w:b/>
          <w:bCs/>
          <w:sz w:val="32"/>
          <w:szCs w:val="32"/>
          <w:lang w:eastAsia="zh-CN"/>
        </w:rPr>
      </w:pPr>
      <w:r>
        <w:rPr>
          <w:rFonts w:hint="eastAsia"/>
          <w:b/>
          <w:bCs/>
          <w:sz w:val="32"/>
          <w:szCs w:val="32"/>
        </w:rPr>
        <w:t>招标代理机构：</w:t>
      </w:r>
      <w:r>
        <w:rPr>
          <w:rFonts w:hint="eastAsia"/>
          <w:b/>
          <w:bCs/>
          <w:sz w:val="32"/>
          <w:szCs w:val="32"/>
          <w:lang w:eastAsia="zh-CN"/>
        </w:rPr>
        <w:t>河南远略工程管理有限公司</w:t>
      </w:r>
    </w:p>
    <w:p>
      <w:pPr>
        <w:spacing w:line="360" w:lineRule="auto"/>
        <w:ind w:firstLine="1285" w:firstLineChars="400"/>
        <w:rPr>
          <w:rFonts w:hint="eastAsia"/>
          <w:b/>
          <w:bCs/>
        </w:rPr>
      </w:pPr>
      <w:r>
        <w:rPr>
          <w:rFonts w:hint="eastAsia"/>
          <w:b/>
          <w:bCs/>
          <w:sz w:val="32"/>
          <w:szCs w:val="32"/>
        </w:rPr>
        <w:t>日        期：二零二</w:t>
      </w:r>
      <w:r>
        <w:rPr>
          <w:rFonts w:hint="eastAsia"/>
          <w:b/>
          <w:bCs/>
          <w:sz w:val="32"/>
          <w:szCs w:val="32"/>
          <w:lang w:val="en-US" w:eastAsia="zh-CN"/>
        </w:rPr>
        <w:t>三</w:t>
      </w:r>
      <w:r>
        <w:rPr>
          <w:rFonts w:hint="eastAsia"/>
          <w:b/>
          <w:bCs/>
          <w:sz w:val="32"/>
          <w:szCs w:val="32"/>
        </w:rPr>
        <w:t>年</w:t>
      </w:r>
      <w:r>
        <w:rPr>
          <w:rFonts w:hint="eastAsia"/>
          <w:b/>
          <w:bCs/>
          <w:sz w:val="32"/>
          <w:szCs w:val="32"/>
          <w:lang w:val="en-US" w:eastAsia="zh-CN"/>
        </w:rPr>
        <w:t>八</w:t>
      </w:r>
      <w:r>
        <w:rPr>
          <w:rFonts w:hint="eastAsia"/>
          <w:b/>
          <w:bCs/>
          <w:sz w:val="32"/>
          <w:szCs w:val="32"/>
        </w:rPr>
        <w:t>月</w:t>
      </w:r>
    </w:p>
    <w:p>
      <w:pPr>
        <w:spacing w:line="360" w:lineRule="auto"/>
        <w:rPr>
          <w:rFonts w:hint="eastAsia" w:ascii="宋体" w:hAnsi="宋体"/>
          <w:b/>
          <w:kern w:val="0"/>
          <w:sz w:val="30"/>
          <w:szCs w:val="30"/>
        </w:rPr>
      </w:pPr>
    </w:p>
    <w:p>
      <w:pPr>
        <w:jc w:val="center"/>
        <w:rPr>
          <w:rFonts w:hint="eastAsia" w:ascii="宋体" w:hAnsi="宋体" w:cs="宋体"/>
          <w:b/>
          <w:bCs/>
          <w:sz w:val="30"/>
          <w:szCs w:val="30"/>
        </w:rPr>
        <w:sectPr>
          <w:headerReference r:id="rId3" w:type="default"/>
          <w:footerReference r:id="rId4" w:type="default"/>
          <w:footerReference r:id="rId5" w:type="even"/>
          <w:pgSz w:w="11906" w:h="16838"/>
          <w:pgMar w:top="1213" w:right="1236" w:bottom="1213" w:left="1349" w:header="623" w:footer="568" w:gutter="0"/>
          <w:pgBorders>
            <w:top w:val="none" w:sz="0" w:space="0"/>
            <w:left w:val="none" w:sz="0" w:space="0"/>
            <w:bottom w:val="none" w:sz="0" w:space="0"/>
            <w:right w:val="none" w:sz="0" w:space="0"/>
          </w:pgBorders>
          <w:cols w:space="720" w:num="1"/>
          <w:docGrid w:type="lines" w:linePitch="312" w:charSpace="0"/>
        </w:sectPr>
      </w:pPr>
    </w:p>
    <w:p>
      <w:pPr>
        <w:spacing w:line="360" w:lineRule="auto"/>
        <w:jc w:val="center"/>
        <w:rPr>
          <w:rFonts w:hint="eastAsia" w:ascii="宋体" w:hAnsi="宋体"/>
          <w:b/>
          <w:bCs/>
          <w:sz w:val="40"/>
          <w:szCs w:val="32"/>
        </w:rPr>
      </w:pPr>
      <w:r>
        <w:rPr>
          <w:rFonts w:hint="eastAsia" w:ascii="宋体" w:hAnsi="宋体"/>
          <w:b/>
          <w:bCs/>
          <w:sz w:val="40"/>
          <w:szCs w:val="32"/>
        </w:rPr>
        <w:t>目  录</w:t>
      </w:r>
      <w:bookmarkEnd w:id="0"/>
      <w:bookmarkEnd w:id="1"/>
    </w:p>
    <w:p>
      <w:pPr>
        <w:pStyle w:val="14"/>
        <w:tabs>
          <w:tab w:val="right" w:leader="dot" w:pos="9321"/>
        </w:tabs>
        <w:spacing w:line="480" w:lineRule="auto"/>
        <w:rPr>
          <w:sz w:val="24"/>
          <w:szCs w:val="24"/>
        </w:rPr>
      </w:pPr>
      <w:bookmarkStart w:id="2" w:name="_Toc152042287"/>
      <w:bookmarkStart w:id="3" w:name="_Toc152045511"/>
      <w:bookmarkStart w:id="4" w:name="_Toc144974479"/>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"1-2"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_Toc24295 </w:instrText>
      </w:r>
      <w:r>
        <w:rPr>
          <w:rFonts w:hint="eastAsia" w:ascii="宋体" w:hAnsi="宋体" w:eastAsia="宋体" w:cs="宋体"/>
          <w:sz w:val="24"/>
          <w:szCs w:val="24"/>
        </w:rPr>
        <w:fldChar w:fldCharType="separate"/>
      </w:r>
      <w:r>
        <w:rPr>
          <w:rFonts w:hint="eastAsia" w:ascii="宋体" w:hAnsi="宋体"/>
          <w:sz w:val="24"/>
          <w:szCs w:val="24"/>
        </w:rPr>
        <w:t>第</w:t>
      </w:r>
      <w:r>
        <w:rPr>
          <w:rFonts w:hint="eastAsia" w:ascii="宋体" w:hAnsi="宋体"/>
          <w:sz w:val="24"/>
          <w:szCs w:val="24"/>
          <w:lang w:val="en-US" w:eastAsia="zh-CN"/>
        </w:rPr>
        <w:t>一</w:t>
      </w:r>
      <w:r>
        <w:rPr>
          <w:rFonts w:hint="eastAsia" w:ascii="宋体" w:hAnsi="宋体"/>
          <w:sz w:val="24"/>
          <w:szCs w:val="24"/>
        </w:rPr>
        <w:t xml:space="preserve">章 </w:t>
      </w:r>
      <w:r>
        <w:rPr>
          <w:rFonts w:hint="eastAsia" w:ascii="华文中宋" w:hAnsi="华文中宋" w:eastAsia="华文中宋"/>
          <w:sz w:val="24"/>
          <w:szCs w:val="24"/>
        </w:rPr>
        <w:t>竞争性磋商公告</w:t>
      </w:r>
      <w:r>
        <w:rPr>
          <w:sz w:val="24"/>
          <w:szCs w:val="24"/>
        </w:rPr>
        <w:tab/>
      </w:r>
      <w:r>
        <w:rPr>
          <w:sz w:val="24"/>
          <w:szCs w:val="24"/>
        </w:rPr>
        <w:fldChar w:fldCharType="begin"/>
      </w:r>
      <w:r>
        <w:rPr>
          <w:sz w:val="24"/>
          <w:szCs w:val="24"/>
        </w:rPr>
        <w:instrText xml:space="preserve"> PAGEREF _Toc24295 \h </w:instrText>
      </w:r>
      <w:r>
        <w:rPr>
          <w:sz w:val="24"/>
          <w:szCs w:val="24"/>
        </w:rPr>
        <w:fldChar w:fldCharType="separate"/>
      </w:r>
      <w:r>
        <w:rPr>
          <w:sz w:val="24"/>
          <w:szCs w:val="24"/>
        </w:rPr>
        <w:t>3</w:t>
      </w:r>
      <w:r>
        <w:rPr>
          <w:sz w:val="24"/>
          <w:szCs w:val="24"/>
        </w:rPr>
        <w:fldChar w:fldCharType="end"/>
      </w:r>
      <w:r>
        <w:rPr>
          <w:rFonts w:hint="eastAsia" w:ascii="宋体" w:hAnsi="宋体" w:eastAsia="宋体" w:cs="宋体"/>
          <w:sz w:val="24"/>
          <w:szCs w:val="24"/>
        </w:rPr>
        <w:fldChar w:fldCharType="end"/>
      </w:r>
    </w:p>
    <w:p>
      <w:pPr>
        <w:pStyle w:val="14"/>
        <w:tabs>
          <w:tab w:val="right" w:leader="dot" w:pos="9321"/>
        </w:tabs>
        <w:spacing w:line="48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_Toc12656 </w:instrText>
      </w:r>
      <w:r>
        <w:rPr>
          <w:rFonts w:hint="eastAsia" w:ascii="宋体" w:hAnsi="宋体" w:eastAsia="宋体" w:cs="宋体"/>
          <w:sz w:val="24"/>
          <w:szCs w:val="24"/>
        </w:rPr>
        <w:fldChar w:fldCharType="separate"/>
      </w:r>
      <w:r>
        <w:rPr>
          <w:rFonts w:hint="eastAsia" w:ascii="宋体" w:hAnsi="宋体"/>
          <w:sz w:val="24"/>
          <w:szCs w:val="24"/>
        </w:rPr>
        <w:t xml:space="preserve">第二章 </w:t>
      </w:r>
      <w:r>
        <w:rPr>
          <w:rFonts w:hint="eastAsia" w:ascii="宋体" w:hAnsi="宋体"/>
          <w:sz w:val="24"/>
          <w:szCs w:val="24"/>
          <w:lang w:val="en-US" w:eastAsia="zh-CN"/>
        </w:rPr>
        <w:t>供应商</w:t>
      </w:r>
      <w:r>
        <w:rPr>
          <w:rFonts w:hint="eastAsia" w:ascii="宋体" w:hAnsi="宋体"/>
          <w:sz w:val="24"/>
          <w:szCs w:val="24"/>
        </w:rPr>
        <w:t>须知</w:t>
      </w:r>
      <w:r>
        <w:rPr>
          <w:sz w:val="24"/>
          <w:szCs w:val="24"/>
        </w:rPr>
        <w:tab/>
      </w:r>
      <w:r>
        <w:rPr>
          <w:sz w:val="24"/>
          <w:szCs w:val="24"/>
        </w:rPr>
        <w:fldChar w:fldCharType="begin"/>
      </w:r>
      <w:r>
        <w:rPr>
          <w:sz w:val="24"/>
          <w:szCs w:val="24"/>
        </w:rPr>
        <w:instrText xml:space="preserve"> PAGEREF _Toc12656 \h </w:instrText>
      </w:r>
      <w:r>
        <w:rPr>
          <w:sz w:val="24"/>
          <w:szCs w:val="24"/>
        </w:rPr>
        <w:fldChar w:fldCharType="separate"/>
      </w:r>
      <w:r>
        <w:rPr>
          <w:sz w:val="24"/>
          <w:szCs w:val="24"/>
        </w:rPr>
        <w:t>9</w:t>
      </w:r>
      <w:r>
        <w:rPr>
          <w:sz w:val="24"/>
          <w:szCs w:val="24"/>
        </w:rPr>
        <w:fldChar w:fldCharType="end"/>
      </w:r>
      <w:r>
        <w:rPr>
          <w:rFonts w:hint="eastAsia" w:ascii="宋体" w:hAnsi="宋体" w:eastAsia="宋体" w:cs="宋体"/>
          <w:sz w:val="24"/>
          <w:szCs w:val="24"/>
        </w:rPr>
        <w:fldChar w:fldCharType="end"/>
      </w:r>
    </w:p>
    <w:p>
      <w:pPr>
        <w:pStyle w:val="15"/>
        <w:tabs>
          <w:tab w:val="right" w:leader="dot" w:pos="9321"/>
        </w:tabs>
        <w:spacing w:line="48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_Toc20325 </w:instrText>
      </w:r>
      <w:r>
        <w:rPr>
          <w:rFonts w:hint="eastAsia" w:ascii="宋体" w:hAnsi="宋体" w:eastAsia="宋体" w:cs="宋体"/>
          <w:sz w:val="24"/>
          <w:szCs w:val="24"/>
        </w:rPr>
        <w:fldChar w:fldCharType="separate"/>
      </w:r>
      <w:r>
        <w:rPr>
          <w:rFonts w:hint="eastAsia" w:ascii="宋体" w:hAnsi="宋体" w:cs="宋体"/>
          <w:sz w:val="24"/>
          <w:szCs w:val="24"/>
        </w:rPr>
        <w:t>1.</w:t>
      </w:r>
      <w:r>
        <w:rPr>
          <w:rFonts w:ascii="宋体" w:hAnsi="宋体" w:cs="宋体"/>
          <w:sz w:val="24"/>
          <w:szCs w:val="24"/>
        </w:rPr>
        <w:t xml:space="preserve"> </w:t>
      </w:r>
      <w:r>
        <w:rPr>
          <w:rFonts w:hint="eastAsia" w:ascii="宋体" w:hAnsi="宋体" w:cs="宋体"/>
          <w:sz w:val="24"/>
          <w:szCs w:val="24"/>
        </w:rPr>
        <w:t>总则</w:t>
      </w:r>
      <w:r>
        <w:rPr>
          <w:sz w:val="24"/>
          <w:szCs w:val="24"/>
        </w:rPr>
        <w:tab/>
      </w:r>
      <w:r>
        <w:rPr>
          <w:sz w:val="24"/>
          <w:szCs w:val="24"/>
        </w:rPr>
        <w:fldChar w:fldCharType="begin"/>
      </w:r>
      <w:r>
        <w:rPr>
          <w:sz w:val="24"/>
          <w:szCs w:val="24"/>
        </w:rPr>
        <w:instrText xml:space="preserve"> PAGEREF _Toc20325 \h </w:instrText>
      </w:r>
      <w:r>
        <w:rPr>
          <w:sz w:val="24"/>
          <w:szCs w:val="24"/>
        </w:rPr>
        <w:fldChar w:fldCharType="separate"/>
      </w:r>
      <w:r>
        <w:rPr>
          <w:sz w:val="24"/>
          <w:szCs w:val="24"/>
        </w:rPr>
        <w:t>18</w:t>
      </w:r>
      <w:r>
        <w:rPr>
          <w:sz w:val="24"/>
          <w:szCs w:val="24"/>
        </w:rPr>
        <w:fldChar w:fldCharType="end"/>
      </w:r>
      <w:r>
        <w:rPr>
          <w:rFonts w:hint="eastAsia" w:ascii="宋体" w:hAnsi="宋体" w:eastAsia="宋体" w:cs="宋体"/>
          <w:sz w:val="24"/>
          <w:szCs w:val="24"/>
        </w:rPr>
        <w:fldChar w:fldCharType="end"/>
      </w:r>
    </w:p>
    <w:p>
      <w:pPr>
        <w:pStyle w:val="15"/>
        <w:tabs>
          <w:tab w:val="right" w:leader="dot" w:pos="9321"/>
        </w:tabs>
        <w:spacing w:line="48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_Toc25223 </w:instrText>
      </w:r>
      <w:r>
        <w:rPr>
          <w:rFonts w:hint="eastAsia" w:ascii="宋体" w:hAnsi="宋体" w:eastAsia="宋体" w:cs="宋体"/>
          <w:sz w:val="24"/>
          <w:szCs w:val="24"/>
        </w:rPr>
        <w:fldChar w:fldCharType="separate"/>
      </w:r>
      <w:r>
        <w:rPr>
          <w:rFonts w:hint="eastAsia" w:ascii="宋体" w:hAnsi="宋体"/>
          <w:sz w:val="24"/>
          <w:szCs w:val="24"/>
        </w:rPr>
        <w:t>2．磋商文件</w:t>
      </w:r>
      <w:r>
        <w:rPr>
          <w:sz w:val="24"/>
          <w:szCs w:val="24"/>
        </w:rPr>
        <w:tab/>
      </w:r>
      <w:r>
        <w:rPr>
          <w:sz w:val="24"/>
          <w:szCs w:val="24"/>
        </w:rPr>
        <w:fldChar w:fldCharType="begin"/>
      </w:r>
      <w:r>
        <w:rPr>
          <w:sz w:val="24"/>
          <w:szCs w:val="24"/>
        </w:rPr>
        <w:instrText xml:space="preserve"> PAGEREF _Toc25223 \h </w:instrText>
      </w:r>
      <w:r>
        <w:rPr>
          <w:sz w:val="24"/>
          <w:szCs w:val="24"/>
        </w:rPr>
        <w:fldChar w:fldCharType="separate"/>
      </w:r>
      <w:r>
        <w:rPr>
          <w:sz w:val="24"/>
          <w:szCs w:val="24"/>
        </w:rPr>
        <w:t>20</w:t>
      </w:r>
      <w:r>
        <w:rPr>
          <w:sz w:val="24"/>
          <w:szCs w:val="24"/>
        </w:rPr>
        <w:fldChar w:fldCharType="end"/>
      </w:r>
      <w:r>
        <w:rPr>
          <w:rFonts w:hint="eastAsia" w:ascii="宋体" w:hAnsi="宋体" w:eastAsia="宋体" w:cs="宋体"/>
          <w:sz w:val="24"/>
          <w:szCs w:val="24"/>
        </w:rPr>
        <w:fldChar w:fldCharType="end"/>
      </w:r>
    </w:p>
    <w:p>
      <w:pPr>
        <w:pStyle w:val="15"/>
        <w:tabs>
          <w:tab w:val="right" w:leader="dot" w:pos="9321"/>
        </w:tabs>
        <w:spacing w:line="48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_Toc6414 </w:instrText>
      </w:r>
      <w:r>
        <w:rPr>
          <w:rFonts w:hint="eastAsia" w:ascii="宋体" w:hAnsi="宋体" w:eastAsia="宋体" w:cs="宋体"/>
          <w:sz w:val="24"/>
          <w:szCs w:val="24"/>
        </w:rPr>
        <w:fldChar w:fldCharType="separate"/>
      </w:r>
      <w:r>
        <w:rPr>
          <w:rFonts w:hint="eastAsia" w:ascii="宋体" w:hAnsi="宋体"/>
          <w:sz w:val="24"/>
          <w:szCs w:val="24"/>
        </w:rPr>
        <w:t>3．响应文件</w:t>
      </w:r>
      <w:r>
        <w:rPr>
          <w:sz w:val="24"/>
          <w:szCs w:val="24"/>
        </w:rPr>
        <w:tab/>
      </w:r>
      <w:r>
        <w:rPr>
          <w:sz w:val="24"/>
          <w:szCs w:val="24"/>
        </w:rPr>
        <w:fldChar w:fldCharType="begin"/>
      </w:r>
      <w:r>
        <w:rPr>
          <w:sz w:val="24"/>
          <w:szCs w:val="24"/>
        </w:rPr>
        <w:instrText xml:space="preserve"> PAGEREF _Toc6414 \h </w:instrText>
      </w:r>
      <w:r>
        <w:rPr>
          <w:sz w:val="24"/>
          <w:szCs w:val="24"/>
        </w:rPr>
        <w:fldChar w:fldCharType="separate"/>
      </w:r>
      <w:r>
        <w:rPr>
          <w:sz w:val="24"/>
          <w:szCs w:val="24"/>
        </w:rPr>
        <w:t>20</w:t>
      </w:r>
      <w:r>
        <w:rPr>
          <w:sz w:val="24"/>
          <w:szCs w:val="24"/>
        </w:rPr>
        <w:fldChar w:fldCharType="end"/>
      </w:r>
      <w:r>
        <w:rPr>
          <w:rFonts w:hint="eastAsia" w:ascii="宋体" w:hAnsi="宋体" w:eastAsia="宋体" w:cs="宋体"/>
          <w:sz w:val="24"/>
          <w:szCs w:val="24"/>
        </w:rPr>
        <w:fldChar w:fldCharType="end"/>
      </w:r>
    </w:p>
    <w:p>
      <w:pPr>
        <w:pStyle w:val="15"/>
        <w:tabs>
          <w:tab w:val="right" w:leader="dot" w:pos="9321"/>
        </w:tabs>
        <w:spacing w:line="48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_Toc16611 </w:instrText>
      </w:r>
      <w:r>
        <w:rPr>
          <w:rFonts w:hint="eastAsia" w:ascii="宋体" w:hAnsi="宋体" w:eastAsia="宋体" w:cs="宋体"/>
          <w:sz w:val="24"/>
          <w:szCs w:val="24"/>
        </w:rPr>
        <w:fldChar w:fldCharType="separate"/>
      </w:r>
      <w:r>
        <w:rPr>
          <w:rFonts w:hint="eastAsia" w:ascii="宋体" w:hAnsi="宋体"/>
          <w:sz w:val="24"/>
          <w:szCs w:val="24"/>
        </w:rPr>
        <w:t>4．投标</w:t>
      </w:r>
      <w:r>
        <w:rPr>
          <w:sz w:val="24"/>
          <w:szCs w:val="24"/>
        </w:rPr>
        <w:tab/>
      </w:r>
      <w:r>
        <w:rPr>
          <w:sz w:val="24"/>
          <w:szCs w:val="24"/>
        </w:rPr>
        <w:fldChar w:fldCharType="begin"/>
      </w:r>
      <w:r>
        <w:rPr>
          <w:sz w:val="24"/>
          <w:szCs w:val="24"/>
        </w:rPr>
        <w:instrText xml:space="preserve"> PAGEREF _Toc16611 \h </w:instrText>
      </w:r>
      <w:r>
        <w:rPr>
          <w:sz w:val="24"/>
          <w:szCs w:val="24"/>
        </w:rPr>
        <w:fldChar w:fldCharType="separate"/>
      </w:r>
      <w:r>
        <w:rPr>
          <w:sz w:val="24"/>
          <w:szCs w:val="24"/>
        </w:rPr>
        <w:t>22</w:t>
      </w:r>
      <w:r>
        <w:rPr>
          <w:sz w:val="24"/>
          <w:szCs w:val="24"/>
        </w:rPr>
        <w:fldChar w:fldCharType="end"/>
      </w:r>
      <w:r>
        <w:rPr>
          <w:rFonts w:hint="eastAsia" w:ascii="宋体" w:hAnsi="宋体" w:eastAsia="宋体" w:cs="宋体"/>
          <w:sz w:val="24"/>
          <w:szCs w:val="24"/>
        </w:rPr>
        <w:fldChar w:fldCharType="end"/>
      </w:r>
    </w:p>
    <w:p>
      <w:pPr>
        <w:pStyle w:val="15"/>
        <w:tabs>
          <w:tab w:val="right" w:leader="dot" w:pos="9321"/>
        </w:tabs>
        <w:spacing w:line="48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_Toc21914 </w:instrText>
      </w:r>
      <w:r>
        <w:rPr>
          <w:rFonts w:hint="eastAsia" w:ascii="宋体" w:hAnsi="宋体" w:eastAsia="宋体" w:cs="宋体"/>
          <w:sz w:val="24"/>
          <w:szCs w:val="24"/>
        </w:rPr>
        <w:fldChar w:fldCharType="separate"/>
      </w:r>
      <w:r>
        <w:rPr>
          <w:rFonts w:hint="eastAsia" w:ascii="宋体" w:hAnsi="宋体"/>
          <w:sz w:val="24"/>
          <w:szCs w:val="24"/>
        </w:rPr>
        <w:t>5．开标</w:t>
      </w:r>
      <w:r>
        <w:rPr>
          <w:sz w:val="24"/>
          <w:szCs w:val="24"/>
        </w:rPr>
        <w:tab/>
      </w:r>
      <w:r>
        <w:rPr>
          <w:sz w:val="24"/>
          <w:szCs w:val="24"/>
        </w:rPr>
        <w:fldChar w:fldCharType="begin"/>
      </w:r>
      <w:r>
        <w:rPr>
          <w:sz w:val="24"/>
          <w:szCs w:val="24"/>
        </w:rPr>
        <w:instrText xml:space="preserve"> PAGEREF _Toc21914 \h </w:instrText>
      </w:r>
      <w:r>
        <w:rPr>
          <w:sz w:val="24"/>
          <w:szCs w:val="24"/>
        </w:rPr>
        <w:fldChar w:fldCharType="separate"/>
      </w:r>
      <w:r>
        <w:rPr>
          <w:sz w:val="24"/>
          <w:szCs w:val="24"/>
        </w:rPr>
        <w:t>22</w:t>
      </w:r>
      <w:r>
        <w:rPr>
          <w:sz w:val="24"/>
          <w:szCs w:val="24"/>
        </w:rPr>
        <w:fldChar w:fldCharType="end"/>
      </w:r>
      <w:r>
        <w:rPr>
          <w:rFonts w:hint="eastAsia" w:ascii="宋体" w:hAnsi="宋体" w:eastAsia="宋体" w:cs="宋体"/>
          <w:sz w:val="24"/>
          <w:szCs w:val="24"/>
        </w:rPr>
        <w:fldChar w:fldCharType="end"/>
      </w:r>
    </w:p>
    <w:p>
      <w:pPr>
        <w:pStyle w:val="15"/>
        <w:tabs>
          <w:tab w:val="right" w:leader="dot" w:pos="9321"/>
        </w:tabs>
        <w:spacing w:line="48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_Toc26501 </w:instrText>
      </w:r>
      <w:r>
        <w:rPr>
          <w:rFonts w:hint="eastAsia" w:ascii="宋体" w:hAnsi="宋体" w:eastAsia="宋体" w:cs="宋体"/>
          <w:sz w:val="24"/>
          <w:szCs w:val="24"/>
        </w:rPr>
        <w:fldChar w:fldCharType="separate"/>
      </w:r>
      <w:r>
        <w:rPr>
          <w:rFonts w:hint="eastAsia" w:ascii="宋体" w:hAnsi="宋体"/>
          <w:sz w:val="24"/>
          <w:szCs w:val="24"/>
        </w:rPr>
        <w:t>6．评标</w:t>
      </w:r>
      <w:r>
        <w:rPr>
          <w:sz w:val="24"/>
          <w:szCs w:val="24"/>
        </w:rPr>
        <w:tab/>
      </w:r>
      <w:r>
        <w:rPr>
          <w:sz w:val="24"/>
          <w:szCs w:val="24"/>
        </w:rPr>
        <w:fldChar w:fldCharType="begin"/>
      </w:r>
      <w:r>
        <w:rPr>
          <w:sz w:val="24"/>
          <w:szCs w:val="24"/>
        </w:rPr>
        <w:instrText xml:space="preserve"> PAGEREF _Toc26501 \h </w:instrText>
      </w:r>
      <w:r>
        <w:rPr>
          <w:sz w:val="24"/>
          <w:szCs w:val="24"/>
        </w:rPr>
        <w:fldChar w:fldCharType="separate"/>
      </w:r>
      <w:r>
        <w:rPr>
          <w:sz w:val="24"/>
          <w:szCs w:val="24"/>
        </w:rPr>
        <w:t>22</w:t>
      </w:r>
      <w:r>
        <w:rPr>
          <w:sz w:val="24"/>
          <w:szCs w:val="24"/>
        </w:rPr>
        <w:fldChar w:fldCharType="end"/>
      </w:r>
      <w:r>
        <w:rPr>
          <w:rFonts w:hint="eastAsia" w:ascii="宋体" w:hAnsi="宋体" w:eastAsia="宋体" w:cs="宋体"/>
          <w:sz w:val="24"/>
          <w:szCs w:val="24"/>
        </w:rPr>
        <w:fldChar w:fldCharType="end"/>
      </w:r>
    </w:p>
    <w:p>
      <w:pPr>
        <w:pStyle w:val="15"/>
        <w:tabs>
          <w:tab w:val="right" w:leader="dot" w:pos="9321"/>
        </w:tabs>
        <w:spacing w:line="48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_Toc9092 </w:instrText>
      </w:r>
      <w:r>
        <w:rPr>
          <w:rFonts w:hint="eastAsia" w:ascii="宋体" w:hAnsi="宋体" w:eastAsia="宋体" w:cs="宋体"/>
          <w:sz w:val="24"/>
          <w:szCs w:val="24"/>
        </w:rPr>
        <w:fldChar w:fldCharType="separate"/>
      </w:r>
      <w:r>
        <w:rPr>
          <w:rFonts w:hint="eastAsia" w:ascii="宋体" w:hAnsi="宋体"/>
          <w:sz w:val="24"/>
          <w:szCs w:val="24"/>
        </w:rPr>
        <w:t>7．合同授予</w:t>
      </w:r>
      <w:r>
        <w:rPr>
          <w:sz w:val="24"/>
          <w:szCs w:val="24"/>
        </w:rPr>
        <w:tab/>
      </w:r>
      <w:r>
        <w:rPr>
          <w:sz w:val="24"/>
          <w:szCs w:val="24"/>
        </w:rPr>
        <w:fldChar w:fldCharType="begin"/>
      </w:r>
      <w:r>
        <w:rPr>
          <w:sz w:val="24"/>
          <w:szCs w:val="24"/>
        </w:rPr>
        <w:instrText xml:space="preserve"> PAGEREF _Toc9092 \h </w:instrText>
      </w:r>
      <w:r>
        <w:rPr>
          <w:sz w:val="24"/>
          <w:szCs w:val="24"/>
        </w:rPr>
        <w:fldChar w:fldCharType="separate"/>
      </w:r>
      <w:r>
        <w:rPr>
          <w:sz w:val="24"/>
          <w:szCs w:val="24"/>
        </w:rPr>
        <w:t>23</w:t>
      </w:r>
      <w:r>
        <w:rPr>
          <w:sz w:val="24"/>
          <w:szCs w:val="24"/>
        </w:rPr>
        <w:fldChar w:fldCharType="end"/>
      </w:r>
      <w:r>
        <w:rPr>
          <w:rFonts w:hint="eastAsia" w:ascii="宋体" w:hAnsi="宋体" w:eastAsia="宋体" w:cs="宋体"/>
          <w:sz w:val="24"/>
          <w:szCs w:val="24"/>
        </w:rPr>
        <w:fldChar w:fldCharType="end"/>
      </w:r>
    </w:p>
    <w:p>
      <w:pPr>
        <w:pStyle w:val="15"/>
        <w:tabs>
          <w:tab w:val="right" w:leader="dot" w:pos="9321"/>
        </w:tabs>
        <w:spacing w:line="48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_Toc13427 </w:instrText>
      </w:r>
      <w:r>
        <w:rPr>
          <w:rFonts w:hint="eastAsia" w:ascii="宋体" w:hAnsi="宋体" w:eastAsia="宋体" w:cs="宋体"/>
          <w:sz w:val="24"/>
          <w:szCs w:val="24"/>
        </w:rPr>
        <w:fldChar w:fldCharType="separate"/>
      </w:r>
      <w:r>
        <w:rPr>
          <w:rFonts w:hint="eastAsia" w:ascii="宋体" w:hAnsi="宋体"/>
          <w:sz w:val="24"/>
          <w:szCs w:val="24"/>
        </w:rPr>
        <w:t>8．重新招标和不再招标</w:t>
      </w:r>
      <w:r>
        <w:rPr>
          <w:sz w:val="24"/>
          <w:szCs w:val="24"/>
        </w:rPr>
        <w:tab/>
      </w:r>
      <w:r>
        <w:rPr>
          <w:sz w:val="24"/>
          <w:szCs w:val="24"/>
        </w:rPr>
        <w:fldChar w:fldCharType="begin"/>
      </w:r>
      <w:r>
        <w:rPr>
          <w:sz w:val="24"/>
          <w:szCs w:val="24"/>
        </w:rPr>
        <w:instrText xml:space="preserve"> PAGEREF _Toc13427 \h </w:instrText>
      </w:r>
      <w:r>
        <w:rPr>
          <w:sz w:val="24"/>
          <w:szCs w:val="24"/>
        </w:rPr>
        <w:fldChar w:fldCharType="separate"/>
      </w:r>
      <w:r>
        <w:rPr>
          <w:sz w:val="24"/>
          <w:szCs w:val="24"/>
        </w:rPr>
        <w:t>23</w:t>
      </w:r>
      <w:r>
        <w:rPr>
          <w:sz w:val="24"/>
          <w:szCs w:val="24"/>
        </w:rPr>
        <w:fldChar w:fldCharType="end"/>
      </w:r>
      <w:r>
        <w:rPr>
          <w:rFonts w:hint="eastAsia" w:ascii="宋体" w:hAnsi="宋体" w:eastAsia="宋体" w:cs="宋体"/>
          <w:sz w:val="24"/>
          <w:szCs w:val="24"/>
        </w:rPr>
        <w:fldChar w:fldCharType="end"/>
      </w:r>
    </w:p>
    <w:p>
      <w:pPr>
        <w:pStyle w:val="15"/>
        <w:tabs>
          <w:tab w:val="right" w:leader="dot" w:pos="9321"/>
        </w:tabs>
        <w:spacing w:line="48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_Toc9295 </w:instrText>
      </w:r>
      <w:r>
        <w:rPr>
          <w:rFonts w:hint="eastAsia" w:ascii="宋体" w:hAnsi="宋体" w:eastAsia="宋体" w:cs="宋体"/>
          <w:sz w:val="24"/>
          <w:szCs w:val="24"/>
        </w:rPr>
        <w:fldChar w:fldCharType="separate"/>
      </w:r>
      <w:r>
        <w:rPr>
          <w:rFonts w:hint="eastAsia" w:ascii="宋体" w:hAnsi="宋体"/>
          <w:sz w:val="24"/>
          <w:szCs w:val="24"/>
        </w:rPr>
        <w:t>9．纪律和监督</w:t>
      </w:r>
      <w:r>
        <w:rPr>
          <w:sz w:val="24"/>
          <w:szCs w:val="24"/>
        </w:rPr>
        <w:tab/>
      </w:r>
      <w:r>
        <w:rPr>
          <w:sz w:val="24"/>
          <w:szCs w:val="24"/>
        </w:rPr>
        <w:fldChar w:fldCharType="begin"/>
      </w:r>
      <w:r>
        <w:rPr>
          <w:sz w:val="24"/>
          <w:szCs w:val="24"/>
        </w:rPr>
        <w:instrText xml:space="preserve"> PAGEREF _Toc9295 \h </w:instrText>
      </w:r>
      <w:r>
        <w:rPr>
          <w:sz w:val="24"/>
          <w:szCs w:val="24"/>
        </w:rPr>
        <w:fldChar w:fldCharType="separate"/>
      </w:r>
      <w:r>
        <w:rPr>
          <w:sz w:val="24"/>
          <w:szCs w:val="24"/>
        </w:rPr>
        <w:t>24</w:t>
      </w:r>
      <w:r>
        <w:rPr>
          <w:sz w:val="24"/>
          <w:szCs w:val="24"/>
        </w:rPr>
        <w:fldChar w:fldCharType="end"/>
      </w:r>
      <w:r>
        <w:rPr>
          <w:rFonts w:hint="eastAsia" w:ascii="宋体" w:hAnsi="宋体" w:eastAsia="宋体" w:cs="宋体"/>
          <w:sz w:val="24"/>
          <w:szCs w:val="24"/>
        </w:rPr>
        <w:fldChar w:fldCharType="end"/>
      </w:r>
    </w:p>
    <w:p>
      <w:pPr>
        <w:pStyle w:val="15"/>
        <w:tabs>
          <w:tab w:val="right" w:leader="dot" w:pos="9321"/>
        </w:tabs>
        <w:spacing w:line="48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_Toc22645 </w:instrText>
      </w:r>
      <w:r>
        <w:rPr>
          <w:rFonts w:hint="eastAsia" w:ascii="宋体" w:hAnsi="宋体" w:eastAsia="宋体" w:cs="宋体"/>
          <w:sz w:val="24"/>
          <w:szCs w:val="24"/>
        </w:rPr>
        <w:fldChar w:fldCharType="separate"/>
      </w:r>
      <w:r>
        <w:rPr>
          <w:rFonts w:hint="eastAsia" w:ascii="宋体" w:hAnsi="宋体"/>
          <w:sz w:val="24"/>
          <w:szCs w:val="24"/>
        </w:rPr>
        <w:t>10．需要补充的其他内容</w:t>
      </w:r>
      <w:r>
        <w:rPr>
          <w:sz w:val="24"/>
          <w:szCs w:val="24"/>
        </w:rPr>
        <w:tab/>
      </w:r>
      <w:r>
        <w:rPr>
          <w:sz w:val="24"/>
          <w:szCs w:val="24"/>
        </w:rPr>
        <w:fldChar w:fldCharType="begin"/>
      </w:r>
      <w:r>
        <w:rPr>
          <w:sz w:val="24"/>
          <w:szCs w:val="24"/>
        </w:rPr>
        <w:instrText xml:space="preserve"> PAGEREF _Toc22645 \h </w:instrText>
      </w:r>
      <w:r>
        <w:rPr>
          <w:sz w:val="24"/>
          <w:szCs w:val="24"/>
        </w:rPr>
        <w:fldChar w:fldCharType="separate"/>
      </w:r>
      <w:r>
        <w:rPr>
          <w:sz w:val="24"/>
          <w:szCs w:val="24"/>
        </w:rPr>
        <w:t>24</w:t>
      </w:r>
      <w:r>
        <w:rPr>
          <w:sz w:val="24"/>
          <w:szCs w:val="24"/>
        </w:rPr>
        <w:fldChar w:fldCharType="end"/>
      </w:r>
      <w:r>
        <w:rPr>
          <w:rFonts w:hint="eastAsia" w:ascii="宋体" w:hAnsi="宋体" w:eastAsia="宋体" w:cs="宋体"/>
          <w:sz w:val="24"/>
          <w:szCs w:val="24"/>
        </w:rPr>
        <w:fldChar w:fldCharType="end"/>
      </w:r>
    </w:p>
    <w:p>
      <w:pPr>
        <w:pStyle w:val="14"/>
        <w:tabs>
          <w:tab w:val="right" w:leader="dot" w:pos="9321"/>
        </w:tabs>
        <w:spacing w:line="48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_Toc11717 </w:instrText>
      </w:r>
      <w:r>
        <w:rPr>
          <w:rFonts w:hint="eastAsia" w:ascii="宋体" w:hAnsi="宋体" w:eastAsia="宋体" w:cs="宋体"/>
          <w:sz w:val="24"/>
          <w:szCs w:val="24"/>
        </w:rPr>
        <w:fldChar w:fldCharType="separate"/>
      </w:r>
      <w:r>
        <w:rPr>
          <w:rFonts w:hint="eastAsia" w:ascii="宋体" w:hAnsi="宋体"/>
          <w:sz w:val="24"/>
          <w:szCs w:val="24"/>
        </w:rPr>
        <w:t>第三章 评标办法（综合评估法）</w:t>
      </w:r>
      <w:r>
        <w:rPr>
          <w:sz w:val="24"/>
          <w:szCs w:val="24"/>
        </w:rPr>
        <w:tab/>
      </w:r>
      <w:r>
        <w:rPr>
          <w:sz w:val="24"/>
          <w:szCs w:val="24"/>
        </w:rPr>
        <w:fldChar w:fldCharType="begin"/>
      </w:r>
      <w:r>
        <w:rPr>
          <w:sz w:val="24"/>
          <w:szCs w:val="24"/>
        </w:rPr>
        <w:instrText xml:space="preserve"> PAGEREF _Toc11717 \h </w:instrText>
      </w:r>
      <w:r>
        <w:rPr>
          <w:sz w:val="24"/>
          <w:szCs w:val="24"/>
        </w:rPr>
        <w:fldChar w:fldCharType="separate"/>
      </w:r>
      <w:r>
        <w:rPr>
          <w:sz w:val="24"/>
          <w:szCs w:val="24"/>
        </w:rPr>
        <w:t>25</w:t>
      </w:r>
      <w:r>
        <w:rPr>
          <w:sz w:val="24"/>
          <w:szCs w:val="24"/>
        </w:rPr>
        <w:fldChar w:fldCharType="end"/>
      </w:r>
      <w:r>
        <w:rPr>
          <w:rFonts w:hint="eastAsia" w:ascii="宋体" w:hAnsi="宋体" w:eastAsia="宋体" w:cs="宋体"/>
          <w:sz w:val="24"/>
          <w:szCs w:val="24"/>
        </w:rPr>
        <w:fldChar w:fldCharType="end"/>
      </w:r>
    </w:p>
    <w:p>
      <w:pPr>
        <w:pStyle w:val="14"/>
        <w:tabs>
          <w:tab w:val="right" w:leader="dot" w:pos="9321"/>
        </w:tabs>
        <w:spacing w:line="48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_Toc8643 </w:instrText>
      </w:r>
      <w:r>
        <w:rPr>
          <w:rFonts w:hint="eastAsia" w:ascii="宋体" w:hAnsi="宋体" w:eastAsia="宋体" w:cs="宋体"/>
          <w:sz w:val="24"/>
          <w:szCs w:val="24"/>
        </w:rPr>
        <w:fldChar w:fldCharType="separate"/>
      </w:r>
      <w:r>
        <w:rPr>
          <w:rFonts w:hint="eastAsia" w:ascii="宋体" w:hAnsi="宋体" w:cs="仿宋_GB2312"/>
          <w:sz w:val="24"/>
          <w:szCs w:val="24"/>
        </w:rPr>
        <w:t>评标办法前附表</w:t>
      </w:r>
      <w:r>
        <w:rPr>
          <w:sz w:val="24"/>
          <w:szCs w:val="24"/>
        </w:rPr>
        <w:tab/>
      </w:r>
      <w:r>
        <w:rPr>
          <w:sz w:val="24"/>
          <w:szCs w:val="24"/>
        </w:rPr>
        <w:fldChar w:fldCharType="begin"/>
      </w:r>
      <w:r>
        <w:rPr>
          <w:sz w:val="24"/>
          <w:szCs w:val="24"/>
        </w:rPr>
        <w:instrText xml:space="preserve"> PAGEREF _Toc8643 \h </w:instrText>
      </w:r>
      <w:r>
        <w:rPr>
          <w:sz w:val="24"/>
          <w:szCs w:val="24"/>
        </w:rPr>
        <w:fldChar w:fldCharType="separate"/>
      </w:r>
      <w:r>
        <w:rPr>
          <w:sz w:val="24"/>
          <w:szCs w:val="24"/>
        </w:rPr>
        <w:t>25</w:t>
      </w:r>
      <w:r>
        <w:rPr>
          <w:sz w:val="24"/>
          <w:szCs w:val="24"/>
        </w:rPr>
        <w:fldChar w:fldCharType="end"/>
      </w:r>
      <w:r>
        <w:rPr>
          <w:rFonts w:hint="eastAsia" w:ascii="宋体" w:hAnsi="宋体" w:eastAsia="宋体" w:cs="宋体"/>
          <w:sz w:val="24"/>
          <w:szCs w:val="24"/>
        </w:rPr>
        <w:fldChar w:fldCharType="end"/>
      </w:r>
    </w:p>
    <w:p>
      <w:pPr>
        <w:pStyle w:val="15"/>
        <w:tabs>
          <w:tab w:val="right" w:leader="dot" w:pos="9321"/>
        </w:tabs>
        <w:spacing w:line="48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_Toc20077 </w:instrText>
      </w:r>
      <w:r>
        <w:rPr>
          <w:rFonts w:hint="eastAsia" w:ascii="宋体" w:hAnsi="宋体" w:eastAsia="宋体" w:cs="宋体"/>
          <w:sz w:val="24"/>
          <w:szCs w:val="24"/>
        </w:rPr>
        <w:fldChar w:fldCharType="separate"/>
      </w:r>
      <w:r>
        <w:rPr>
          <w:rFonts w:hint="eastAsia" w:ascii="宋体" w:hAnsi="宋体" w:cs="宋体"/>
          <w:sz w:val="24"/>
          <w:szCs w:val="24"/>
        </w:rPr>
        <w:t>1. 评标方法</w:t>
      </w:r>
      <w:r>
        <w:rPr>
          <w:sz w:val="24"/>
          <w:szCs w:val="24"/>
        </w:rPr>
        <w:tab/>
      </w:r>
      <w:r>
        <w:rPr>
          <w:sz w:val="24"/>
          <w:szCs w:val="24"/>
        </w:rPr>
        <w:fldChar w:fldCharType="begin"/>
      </w:r>
      <w:r>
        <w:rPr>
          <w:sz w:val="24"/>
          <w:szCs w:val="24"/>
        </w:rPr>
        <w:instrText xml:space="preserve"> PAGEREF _Toc20077 \h </w:instrText>
      </w:r>
      <w:r>
        <w:rPr>
          <w:sz w:val="24"/>
          <w:szCs w:val="24"/>
        </w:rPr>
        <w:fldChar w:fldCharType="separate"/>
      </w:r>
      <w:r>
        <w:rPr>
          <w:sz w:val="24"/>
          <w:szCs w:val="24"/>
        </w:rPr>
        <w:t>27</w:t>
      </w:r>
      <w:r>
        <w:rPr>
          <w:sz w:val="24"/>
          <w:szCs w:val="24"/>
        </w:rPr>
        <w:fldChar w:fldCharType="end"/>
      </w:r>
      <w:r>
        <w:rPr>
          <w:rFonts w:hint="eastAsia" w:ascii="宋体" w:hAnsi="宋体" w:eastAsia="宋体" w:cs="宋体"/>
          <w:sz w:val="24"/>
          <w:szCs w:val="24"/>
        </w:rPr>
        <w:fldChar w:fldCharType="end"/>
      </w:r>
    </w:p>
    <w:p>
      <w:pPr>
        <w:pStyle w:val="15"/>
        <w:tabs>
          <w:tab w:val="right" w:leader="dot" w:pos="9321"/>
        </w:tabs>
        <w:spacing w:line="48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_Toc16687 </w:instrText>
      </w:r>
      <w:r>
        <w:rPr>
          <w:rFonts w:hint="eastAsia" w:ascii="宋体" w:hAnsi="宋体" w:eastAsia="宋体" w:cs="宋体"/>
          <w:sz w:val="24"/>
          <w:szCs w:val="24"/>
        </w:rPr>
        <w:fldChar w:fldCharType="separate"/>
      </w:r>
      <w:r>
        <w:rPr>
          <w:rFonts w:hint="eastAsia" w:ascii="宋体" w:hAnsi="宋体" w:cs="宋体"/>
          <w:sz w:val="24"/>
          <w:szCs w:val="24"/>
        </w:rPr>
        <w:t>2. 评审标准</w:t>
      </w:r>
      <w:r>
        <w:rPr>
          <w:sz w:val="24"/>
          <w:szCs w:val="24"/>
        </w:rPr>
        <w:tab/>
      </w:r>
      <w:r>
        <w:rPr>
          <w:sz w:val="24"/>
          <w:szCs w:val="24"/>
        </w:rPr>
        <w:fldChar w:fldCharType="begin"/>
      </w:r>
      <w:r>
        <w:rPr>
          <w:sz w:val="24"/>
          <w:szCs w:val="24"/>
        </w:rPr>
        <w:instrText xml:space="preserve"> PAGEREF _Toc16687 \h </w:instrText>
      </w:r>
      <w:r>
        <w:rPr>
          <w:sz w:val="24"/>
          <w:szCs w:val="24"/>
        </w:rPr>
        <w:fldChar w:fldCharType="separate"/>
      </w:r>
      <w:r>
        <w:rPr>
          <w:sz w:val="24"/>
          <w:szCs w:val="24"/>
        </w:rPr>
        <w:t>27</w:t>
      </w:r>
      <w:r>
        <w:rPr>
          <w:sz w:val="24"/>
          <w:szCs w:val="24"/>
        </w:rPr>
        <w:fldChar w:fldCharType="end"/>
      </w:r>
      <w:r>
        <w:rPr>
          <w:rFonts w:hint="eastAsia" w:ascii="宋体" w:hAnsi="宋体" w:eastAsia="宋体" w:cs="宋体"/>
          <w:sz w:val="24"/>
          <w:szCs w:val="24"/>
        </w:rPr>
        <w:fldChar w:fldCharType="end"/>
      </w:r>
    </w:p>
    <w:p>
      <w:pPr>
        <w:pStyle w:val="15"/>
        <w:tabs>
          <w:tab w:val="right" w:leader="dot" w:pos="9321"/>
        </w:tabs>
        <w:spacing w:line="48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_Toc1685 </w:instrText>
      </w:r>
      <w:r>
        <w:rPr>
          <w:rFonts w:hint="eastAsia" w:ascii="宋体" w:hAnsi="宋体" w:eastAsia="宋体" w:cs="宋体"/>
          <w:sz w:val="24"/>
          <w:szCs w:val="24"/>
        </w:rPr>
        <w:fldChar w:fldCharType="separate"/>
      </w:r>
      <w:r>
        <w:rPr>
          <w:rFonts w:hint="eastAsia" w:ascii="宋体" w:hAnsi="宋体" w:cs="宋体"/>
          <w:sz w:val="24"/>
          <w:szCs w:val="24"/>
        </w:rPr>
        <w:t>3. 评标程序</w:t>
      </w:r>
      <w:r>
        <w:rPr>
          <w:sz w:val="24"/>
          <w:szCs w:val="24"/>
        </w:rPr>
        <w:tab/>
      </w:r>
      <w:r>
        <w:rPr>
          <w:sz w:val="24"/>
          <w:szCs w:val="24"/>
        </w:rPr>
        <w:fldChar w:fldCharType="begin"/>
      </w:r>
      <w:r>
        <w:rPr>
          <w:sz w:val="24"/>
          <w:szCs w:val="24"/>
        </w:rPr>
        <w:instrText xml:space="preserve"> PAGEREF _Toc1685 \h </w:instrText>
      </w:r>
      <w:r>
        <w:rPr>
          <w:sz w:val="24"/>
          <w:szCs w:val="24"/>
        </w:rPr>
        <w:fldChar w:fldCharType="separate"/>
      </w:r>
      <w:r>
        <w:rPr>
          <w:sz w:val="24"/>
          <w:szCs w:val="24"/>
        </w:rPr>
        <w:t>28</w:t>
      </w:r>
      <w:r>
        <w:rPr>
          <w:sz w:val="24"/>
          <w:szCs w:val="24"/>
        </w:rPr>
        <w:fldChar w:fldCharType="end"/>
      </w:r>
      <w:r>
        <w:rPr>
          <w:rFonts w:hint="eastAsia" w:ascii="宋体" w:hAnsi="宋体" w:eastAsia="宋体" w:cs="宋体"/>
          <w:sz w:val="24"/>
          <w:szCs w:val="24"/>
        </w:rPr>
        <w:fldChar w:fldCharType="end"/>
      </w:r>
    </w:p>
    <w:p>
      <w:pPr>
        <w:pStyle w:val="14"/>
        <w:tabs>
          <w:tab w:val="right" w:leader="dot" w:pos="9321"/>
        </w:tabs>
        <w:spacing w:line="48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_Toc1422 </w:instrText>
      </w:r>
      <w:r>
        <w:rPr>
          <w:rFonts w:hint="eastAsia" w:ascii="宋体" w:hAnsi="宋体" w:eastAsia="宋体" w:cs="宋体"/>
          <w:sz w:val="24"/>
          <w:szCs w:val="24"/>
        </w:rPr>
        <w:fldChar w:fldCharType="separate"/>
      </w:r>
      <w:r>
        <w:rPr>
          <w:rFonts w:hint="eastAsia" w:ascii="宋体" w:hAnsi="宋体"/>
          <w:bCs w:val="0"/>
          <w:sz w:val="24"/>
          <w:szCs w:val="24"/>
        </w:rPr>
        <w:t>第四章 合同条款及格式</w:t>
      </w:r>
      <w:r>
        <w:rPr>
          <w:sz w:val="24"/>
          <w:szCs w:val="24"/>
        </w:rPr>
        <w:tab/>
      </w:r>
      <w:r>
        <w:rPr>
          <w:sz w:val="24"/>
          <w:szCs w:val="24"/>
        </w:rPr>
        <w:fldChar w:fldCharType="begin"/>
      </w:r>
      <w:r>
        <w:rPr>
          <w:sz w:val="24"/>
          <w:szCs w:val="24"/>
        </w:rPr>
        <w:instrText xml:space="preserve"> PAGEREF _Toc1422 \h </w:instrText>
      </w:r>
      <w:r>
        <w:rPr>
          <w:sz w:val="24"/>
          <w:szCs w:val="24"/>
        </w:rPr>
        <w:fldChar w:fldCharType="separate"/>
      </w:r>
      <w:r>
        <w:rPr>
          <w:sz w:val="24"/>
          <w:szCs w:val="24"/>
        </w:rPr>
        <w:t>30</w:t>
      </w:r>
      <w:r>
        <w:rPr>
          <w:sz w:val="24"/>
          <w:szCs w:val="24"/>
        </w:rPr>
        <w:fldChar w:fldCharType="end"/>
      </w:r>
      <w:r>
        <w:rPr>
          <w:rFonts w:hint="eastAsia" w:ascii="宋体" w:hAnsi="宋体" w:eastAsia="宋体" w:cs="宋体"/>
          <w:sz w:val="24"/>
          <w:szCs w:val="24"/>
        </w:rPr>
        <w:fldChar w:fldCharType="end"/>
      </w:r>
    </w:p>
    <w:p>
      <w:pPr>
        <w:pStyle w:val="14"/>
        <w:tabs>
          <w:tab w:val="right" w:leader="dot" w:pos="9321"/>
        </w:tabs>
        <w:spacing w:line="48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_Toc25235 </w:instrText>
      </w:r>
      <w:r>
        <w:rPr>
          <w:rFonts w:hint="eastAsia" w:ascii="宋体" w:hAnsi="宋体" w:eastAsia="宋体" w:cs="宋体"/>
          <w:sz w:val="24"/>
          <w:szCs w:val="24"/>
        </w:rPr>
        <w:fldChar w:fldCharType="separate"/>
      </w:r>
      <w:r>
        <w:rPr>
          <w:rFonts w:hint="eastAsia" w:ascii="宋体" w:hAnsi="宋体"/>
          <w:sz w:val="24"/>
          <w:szCs w:val="24"/>
        </w:rPr>
        <w:t>第五章  工程量清单</w:t>
      </w:r>
      <w:r>
        <w:rPr>
          <w:sz w:val="24"/>
          <w:szCs w:val="24"/>
        </w:rPr>
        <w:tab/>
      </w:r>
      <w:r>
        <w:rPr>
          <w:sz w:val="24"/>
          <w:szCs w:val="24"/>
        </w:rPr>
        <w:fldChar w:fldCharType="begin"/>
      </w:r>
      <w:r>
        <w:rPr>
          <w:sz w:val="24"/>
          <w:szCs w:val="24"/>
        </w:rPr>
        <w:instrText xml:space="preserve"> PAGEREF _Toc25235 \h </w:instrText>
      </w:r>
      <w:r>
        <w:rPr>
          <w:sz w:val="24"/>
          <w:szCs w:val="24"/>
        </w:rPr>
        <w:fldChar w:fldCharType="separate"/>
      </w:r>
      <w:r>
        <w:rPr>
          <w:sz w:val="24"/>
          <w:szCs w:val="24"/>
        </w:rPr>
        <w:t>33</w:t>
      </w:r>
      <w:r>
        <w:rPr>
          <w:sz w:val="24"/>
          <w:szCs w:val="24"/>
        </w:rPr>
        <w:fldChar w:fldCharType="end"/>
      </w:r>
      <w:r>
        <w:rPr>
          <w:rFonts w:hint="eastAsia" w:ascii="宋体" w:hAnsi="宋体" w:eastAsia="宋体" w:cs="宋体"/>
          <w:sz w:val="24"/>
          <w:szCs w:val="24"/>
        </w:rPr>
        <w:fldChar w:fldCharType="end"/>
      </w:r>
    </w:p>
    <w:p>
      <w:pPr>
        <w:pStyle w:val="14"/>
        <w:tabs>
          <w:tab w:val="right" w:leader="dot" w:pos="9321"/>
        </w:tabs>
        <w:spacing w:line="48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_Toc10087 </w:instrText>
      </w:r>
      <w:r>
        <w:rPr>
          <w:rFonts w:hint="eastAsia" w:ascii="宋体" w:hAnsi="宋体" w:eastAsia="宋体" w:cs="宋体"/>
          <w:sz w:val="24"/>
          <w:szCs w:val="24"/>
        </w:rPr>
        <w:fldChar w:fldCharType="separate"/>
      </w:r>
      <w:r>
        <w:rPr>
          <w:rFonts w:hint="eastAsia"/>
          <w:sz w:val="24"/>
          <w:szCs w:val="24"/>
        </w:rPr>
        <w:t>第六章  技术标准和要求</w:t>
      </w:r>
      <w:r>
        <w:rPr>
          <w:sz w:val="24"/>
          <w:szCs w:val="24"/>
        </w:rPr>
        <w:tab/>
      </w:r>
      <w:r>
        <w:rPr>
          <w:sz w:val="24"/>
          <w:szCs w:val="24"/>
        </w:rPr>
        <w:fldChar w:fldCharType="begin"/>
      </w:r>
      <w:r>
        <w:rPr>
          <w:sz w:val="24"/>
          <w:szCs w:val="24"/>
        </w:rPr>
        <w:instrText xml:space="preserve"> PAGEREF _Toc10087 \h </w:instrText>
      </w:r>
      <w:r>
        <w:rPr>
          <w:sz w:val="24"/>
          <w:szCs w:val="24"/>
        </w:rPr>
        <w:fldChar w:fldCharType="separate"/>
      </w:r>
      <w:r>
        <w:rPr>
          <w:sz w:val="24"/>
          <w:szCs w:val="24"/>
        </w:rPr>
        <w:t>34</w:t>
      </w:r>
      <w:r>
        <w:rPr>
          <w:sz w:val="24"/>
          <w:szCs w:val="24"/>
        </w:rPr>
        <w:fldChar w:fldCharType="end"/>
      </w:r>
      <w:r>
        <w:rPr>
          <w:rFonts w:hint="eastAsia" w:ascii="宋体" w:hAnsi="宋体" w:eastAsia="宋体" w:cs="宋体"/>
          <w:sz w:val="24"/>
          <w:szCs w:val="24"/>
        </w:rPr>
        <w:fldChar w:fldCharType="end"/>
      </w:r>
    </w:p>
    <w:p>
      <w:pPr>
        <w:pStyle w:val="14"/>
        <w:tabs>
          <w:tab w:val="right" w:leader="dot" w:pos="9321"/>
        </w:tabs>
        <w:spacing w:line="48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_Toc18479 </w:instrText>
      </w:r>
      <w:r>
        <w:rPr>
          <w:rFonts w:hint="eastAsia" w:ascii="宋体" w:hAnsi="宋体" w:eastAsia="宋体" w:cs="宋体"/>
          <w:sz w:val="24"/>
          <w:szCs w:val="24"/>
        </w:rPr>
        <w:fldChar w:fldCharType="separate"/>
      </w:r>
      <w:r>
        <w:rPr>
          <w:rFonts w:hint="eastAsia" w:ascii="Times New Roman" w:hAnsi="Times New Roman" w:eastAsia="宋体" w:cstheme="minorBidi"/>
          <w:bCs/>
          <w:color w:val="0563C1" w:themeColor="hyperlink"/>
          <w:kern w:val="44"/>
          <w:sz w:val="24"/>
          <w:szCs w:val="24"/>
          <w:lang w:val="en-US" w:eastAsia="zh-CN" w:bidi="ar-SA"/>
          <w14:textFill>
            <w14:solidFill>
              <w14:schemeClr w14:val="hlink">
                <w14:alpha w14:val="0"/>
              </w14:schemeClr>
            </w14:solidFill>
          </w14:textFill>
        </w:rPr>
        <w:t>第七章</w:t>
      </w:r>
      <w:r>
        <w:rPr>
          <w:rFonts w:hint="eastAsia"/>
          <w:sz w:val="24"/>
          <w:szCs w:val="24"/>
        </w:rPr>
        <w:t xml:space="preserve"> 响应文件格式</w:t>
      </w:r>
      <w:r>
        <w:rPr>
          <w:sz w:val="24"/>
          <w:szCs w:val="24"/>
        </w:rPr>
        <w:tab/>
      </w:r>
      <w:r>
        <w:rPr>
          <w:sz w:val="24"/>
          <w:szCs w:val="24"/>
        </w:rPr>
        <w:fldChar w:fldCharType="begin"/>
      </w:r>
      <w:r>
        <w:rPr>
          <w:sz w:val="24"/>
          <w:szCs w:val="24"/>
        </w:rPr>
        <w:instrText xml:space="preserve"> PAGEREF _Toc18479 \h </w:instrText>
      </w:r>
      <w:r>
        <w:rPr>
          <w:sz w:val="24"/>
          <w:szCs w:val="24"/>
        </w:rPr>
        <w:fldChar w:fldCharType="separate"/>
      </w:r>
      <w:r>
        <w:rPr>
          <w:sz w:val="24"/>
          <w:szCs w:val="24"/>
        </w:rPr>
        <w:t>35</w:t>
      </w:r>
      <w:r>
        <w:rPr>
          <w:sz w:val="24"/>
          <w:szCs w:val="24"/>
        </w:rPr>
        <w:fldChar w:fldCharType="end"/>
      </w:r>
      <w:r>
        <w:rPr>
          <w:rFonts w:hint="eastAsia" w:ascii="宋体" w:hAnsi="宋体" w:eastAsia="宋体" w:cs="宋体"/>
          <w:sz w:val="24"/>
          <w:szCs w:val="24"/>
        </w:rPr>
        <w:fldChar w:fldCharType="end"/>
      </w:r>
    </w:p>
    <w:p>
      <w:pPr>
        <w:pStyle w:val="15"/>
        <w:tabs>
          <w:tab w:val="right" w:leader="dot" w:pos="9321"/>
        </w:tabs>
        <w:spacing w:line="48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_Toc20283 </w:instrText>
      </w:r>
      <w:r>
        <w:rPr>
          <w:rFonts w:hint="eastAsia" w:ascii="宋体" w:hAnsi="宋体" w:eastAsia="宋体" w:cs="宋体"/>
          <w:sz w:val="24"/>
          <w:szCs w:val="24"/>
        </w:rPr>
        <w:fldChar w:fldCharType="separate"/>
      </w:r>
      <w:r>
        <w:rPr>
          <w:rFonts w:hint="eastAsia" w:ascii="宋体" w:hAnsi="宋体" w:eastAsia="宋体"/>
          <w:sz w:val="24"/>
          <w:szCs w:val="24"/>
        </w:rPr>
        <w:t>一、投标函及投标函附录</w:t>
      </w:r>
      <w:r>
        <w:rPr>
          <w:sz w:val="24"/>
          <w:szCs w:val="24"/>
        </w:rPr>
        <w:tab/>
      </w:r>
      <w:r>
        <w:rPr>
          <w:sz w:val="24"/>
          <w:szCs w:val="24"/>
        </w:rPr>
        <w:fldChar w:fldCharType="begin"/>
      </w:r>
      <w:r>
        <w:rPr>
          <w:sz w:val="24"/>
          <w:szCs w:val="24"/>
        </w:rPr>
        <w:instrText xml:space="preserve"> PAGEREF _Toc20283 \h </w:instrText>
      </w:r>
      <w:r>
        <w:rPr>
          <w:sz w:val="24"/>
          <w:szCs w:val="24"/>
        </w:rPr>
        <w:fldChar w:fldCharType="separate"/>
      </w:r>
      <w:r>
        <w:rPr>
          <w:sz w:val="24"/>
          <w:szCs w:val="24"/>
        </w:rPr>
        <w:t>36</w:t>
      </w:r>
      <w:r>
        <w:rPr>
          <w:sz w:val="24"/>
          <w:szCs w:val="24"/>
        </w:rPr>
        <w:fldChar w:fldCharType="end"/>
      </w:r>
      <w:r>
        <w:rPr>
          <w:rFonts w:hint="eastAsia" w:ascii="宋体" w:hAnsi="宋体" w:eastAsia="宋体" w:cs="宋体"/>
          <w:sz w:val="24"/>
          <w:szCs w:val="24"/>
        </w:rPr>
        <w:fldChar w:fldCharType="end"/>
      </w:r>
    </w:p>
    <w:p>
      <w:pPr>
        <w:pStyle w:val="15"/>
        <w:tabs>
          <w:tab w:val="right" w:leader="dot" w:pos="9321"/>
        </w:tabs>
        <w:spacing w:line="48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_Toc6235 </w:instrText>
      </w:r>
      <w:r>
        <w:rPr>
          <w:rFonts w:hint="eastAsia" w:ascii="宋体" w:hAnsi="宋体" w:eastAsia="宋体" w:cs="宋体"/>
          <w:sz w:val="24"/>
          <w:szCs w:val="24"/>
        </w:rPr>
        <w:fldChar w:fldCharType="separate"/>
      </w:r>
      <w:r>
        <w:rPr>
          <w:rFonts w:hint="eastAsia" w:ascii="Calibri" w:hAnsi="Calibri"/>
          <w:sz w:val="24"/>
          <w:szCs w:val="24"/>
        </w:rPr>
        <w:t>（一）投标函</w:t>
      </w:r>
      <w:r>
        <w:rPr>
          <w:sz w:val="24"/>
          <w:szCs w:val="24"/>
        </w:rPr>
        <w:tab/>
      </w:r>
      <w:r>
        <w:rPr>
          <w:sz w:val="24"/>
          <w:szCs w:val="24"/>
        </w:rPr>
        <w:fldChar w:fldCharType="begin"/>
      </w:r>
      <w:r>
        <w:rPr>
          <w:sz w:val="24"/>
          <w:szCs w:val="24"/>
        </w:rPr>
        <w:instrText xml:space="preserve"> PAGEREF _Toc6235 \h </w:instrText>
      </w:r>
      <w:r>
        <w:rPr>
          <w:sz w:val="24"/>
          <w:szCs w:val="24"/>
        </w:rPr>
        <w:fldChar w:fldCharType="separate"/>
      </w:r>
      <w:r>
        <w:rPr>
          <w:sz w:val="24"/>
          <w:szCs w:val="24"/>
        </w:rPr>
        <w:t>36</w:t>
      </w:r>
      <w:r>
        <w:rPr>
          <w:sz w:val="24"/>
          <w:szCs w:val="24"/>
        </w:rPr>
        <w:fldChar w:fldCharType="end"/>
      </w:r>
      <w:r>
        <w:rPr>
          <w:rFonts w:hint="eastAsia" w:ascii="宋体" w:hAnsi="宋体" w:eastAsia="宋体" w:cs="宋体"/>
          <w:sz w:val="24"/>
          <w:szCs w:val="24"/>
        </w:rPr>
        <w:fldChar w:fldCharType="end"/>
      </w:r>
    </w:p>
    <w:p>
      <w:pPr>
        <w:pStyle w:val="15"/>
        <w:tabs>
          <w:tab w:val="right" w:leader="dot" w:pos="9321"/>
        </w:tabs>
        <w:spacing w:line="48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_Toc4829 </w:instrText>
      </w:r>
      <w:r>
        <w:rPr>
          <w:rFonts w:hint="eastAsia" w:ascii="宋体" w:hAnsi="宋体" w:eastAsia="宋体" w:cs="宋体"/>
          <w:sz w:val="24"/>
          <w:szCs w:val="24"/>
        </w:rPr>
        <w:fldChar w:fldCharType="separate"/>
      </w:r>
      <w:r>
        <w:rPr>
          <w:rFonts w:hint="eastAsia" w:ascii="Calibri" w:hAnsi="Calibri"/>
          <w:sz w:val="24"/>
          <w:szCs w:val="24"/>
        </w:rPr>
        <w:t>（二）投标函附录</w:t>
      </w:r>
      <w:r>
        <w:rPr>
          <w:sz w:val="24"/>
          <w:szCs w:val="24"/>
        </w:rPr>
        <w:tab/>
      </w:r>
      <w:r>
        <w:rPr>
          <w:sz w:val="24"/>
          <w:szCs w:val="24"/>
        </w:rPr>
        <w:fldChar w:fldCharType="begin"/>
      </w:r>
      <w:r>
        <w:rPr>
          <w:sz w:val="24"/>
          <w:szCs w:val="24"/>
        </w:rPr>
        <w:instrText xml:space="preserve"> PAGEREF _Toc4829 \h </w:instrText>
      </w:r>
      <w:r>
        <w:rPr>
          <w:sz w:val="24"/>
          <w:szCs w:val="24"/>
        </w:rPr>
        <w:fldChar w:fldCharType="separate"/>
      </w:r>
      <w:r>
        <w:rPr>
          <w:sz w:val="24"/>
          <w:szCs w:val="24"/>
        </w:rPr>
        <w:t>37</w:t>
      </w:r>
      <w:r>
        <w:rPr>
          <w:sz w:val="24"/>
          <w:szCs w:val="24"/>
        </w:rPr>
        <w:fldChar w:fldCharType="end"/>
      </w:r>
      <w:r>
        <w:rPr>
          <w:rFonts w:hint="eastAsia" w:ascii="宋体" w:hAnsi="宋体" w:eastAsia="宋体" w:cs="宋体"/>
          <w:sz w:val="24"/>
          <w:szCs w:val="24"/>
        </w:rPr>
        <w:fldChar w:fldCharType="end"/>
      </w:r>
    </w:p>
    <w:p>
      <w:pPr>
        <w:pStyle w:val="15"/>
        <w:tabs>
          <w:tab w:val="right" w:leader="dot" w:pos="9321"/>
        </w:tabs>
        <w:spacing w:line="48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_Toc3999 </w:instrText>
      </w:r>
      <w:r>
        <w:rPr>
          <w:rFonts w:hint="eastAsia" w:ascii="宋体" w:hAnsi="宋体" w:eastAsia="宋体" w:cs="宋体"/>
          <w:sz w:val="24"/>
          <w:szCs w:val="24"/>
        </w:rPr>
        <w:fldChar w:fldCharType="separate"/>
      </w:r>
      <w:r>
        <w:rPr>
          <w:rFonts w:hint="eastAsia" w:ascii="宋体" w:hAnsi="宋体" w:eastAsia="宋体" w:cstheme="minorBidi"/>
          <w:kern w:val="2"/>
          <w:sz w:val="24"/>
          <w:szCs w:val="24"/>
          <w:lang w:val="en-US" w:eastAsia="zh-CN" w:bidi="ar-SA"/>
        </w:rPr>
        <w:t>二、</w:t>
      </w:r>
      <w:r>
        <w:rPr>
          <w:rFonts w:hint="eastAsia" w:ascii="宋体" w:hAnsi="宋体" w:eastAsia="宋体"/>
          <w:sz w:val="24"/>
          <w:szCs w:val="24"/>
        </w:rPr>
        <w:t>法定代表人身份证明</w:t>
      </w:r>
      <w:r>
        <w:rPr>
          <w:rFonts w:hint="eastAsia" w:ascii="宋体" w:hAnsi="宋体"/>
          <w:sz w:val="24"/>
          <w:szCs w:val="24"/>
          <w:lang w:val="en-US" w:eastAsia="zh-CN"/>
        </w:rPr>
        <w:t>及</w:t>
      </w:r>
      <w:r>
        <w:rPr>
          <w:rFonts w:hint="eastAsia" w:ascii="宋体" w:hAnsi="宋体" w:eastAsia="宋体"/>
          <w:sz w:val="24"/>
          <w:szCs w:val="24"/>
        </w:rPr>
        <w:t>授权委托书</w:t>
      </w:r>
      <w:r>
        <w:rPr>
          <w:sz w:val="24"/>
          <w:szCs w:val="24"/>
        </w:rPr>
        <w:tab/>
      </w:r>
      <w:r>
        <w:rPr>
          <w:sz w:val="24"/>
          <w:szCs w:val="24"/>
        </w:rPr>
        <w:fldChar w:fldCharType="begin"/>
      </w:r>
      <w:r>
        <w:rPr>
          <w:sz w:val="24"/>
          <w:szCs w:val="24"/>
        </w:rPr>
        <w:instrText xml:space="preserve"> PAGEREF _Toc3999 \h </w:instrText>
      </w:r>
      <w:r>
        <w:rPr>
          <w:sz w:val="24"/>
          <w:szCs w:val="24"/>
        </w:rPr>
        <w:fldChar w:fldCharType="separate"/>
      </w:r>
      <w:r>
        <w:rPr>
          <w:sz w:val="24"/>
          <w:szCs w:val="24"/>
        </w:rPr>
        <w:t>38</w:t>
      </w:r>
      <w:r>
        <w:rPr>
          <w:sz w:val="24"/>
          <w:szCs w:val="24"/>
        </w:rPr>
        <w:fldChar w:fldCharType="end"/>
      </w:r>
      <w:r>
        <w:rPr>
          <w:rFonts w:hint="eastAsia" w:ascii="宋体" w:hAnsi="宋体" w:eastAsia="宋体" w:cs="宋体"/>
          <w:sz w:val="24"/>
          <w:szCs w:val="24"/>
        </w:rPr>
        <w:fldChar w:fldCharType="end"/>
      </w:r>
    </w:p>
    <w:p>
      <w:pPr>
        <w:pStyle w:val="15"/>
        <w:tabs>
          <w:tab w:val="right" w:leader="dot" w:pos="9321"/>
        </w:tabs>
        <w:spacing w:line="48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_Toc19122 </w:instrText>
      </w:r>
      <w:r>
        <w:rPr>
          <w:rFonts w:hint="eastAsia" w:ascii="宋体" w:hAnsi="宋体" w:eastAsia="宋体" w:cs="宋体"/>
          <w:sz w:val="24"/>
          <w:szCs w:val="24"/>
        </w:rPr>
        <w:fldChar w:fldCharType="separate"/>
      </w:r>
      <w:r>
        <w:rPr>
          <w:rFonts w:hint="eastAsia" w:ascii="宋体" w:hAnsi="宋体"/>
          <w:sz w:val="24"/>
          <w:szCs w:val="24"/>
          <w:lang w:eastAsia="zh-CN"/>
        </w:rPr>
        <w:t>（</w:t>
      </w:r>
      <w:r>
        <w:rPr>
          <w:rFonts w:hint="eastAsia" w:ascii="宋体" w:hAnsi="宋体"/>
          <w:sz w:val="24"/>
          <w:szCs w:val="24"/>
          <w:lang w:val="en-US" w:eastAsia="zh-CN"/>
        </w:rPr>
        <w:t>二</w:t>
      </w:r>
      <w:r>
        <w:rPr>
          <w:rFonts w:hint="eastAsia" w:ascii="宋体" w:hAnsi="宋体"/>
          <w:sz w:val="24"/>
          <w:szCs w:val="24"/>
          <w:lang w:eastAsia="zh-CN"/>
        </w:rPr>
        <w:t>）</w:t>
      </w:r>
      <w:r>
        <w:rPr>
          <w:rFonts w:hint="eastAsia" w:ascii="宋体" w:hAnsi="宋体" w:eastAsia="宋体"/>
          <w:sz w:val="24"/>
          <w:szCs w:val="24"/>
        </w:rPr>
        <w:t>、授权委托书</w:t>
      </w:r>
      <w:r>
        <w:rPr>
          <w:sz w:val="24"/>
          <w:szCs w:val="24"/>
        </w:rPr>
        <w:tab/>
      </w:r>
      <w:r>
        <w:rPr>
          <w:sz w:val="24"/>
          <w:szCs w:val="24"/>
        </w:rPr>
        <w:fldChar w:fldCharType="begin"/>
      </w:r>
      <w:r>
        <w:rPr>
          <w:sz w:val="24"/>
          <w:szCs w:val="24"/>
        </w:rPr>
        <w:instrText xml:space="preserve"> PAGEREF _Toc19122 \h </w:instrText>
      </w:r>
      <w:r>
        <w:rPr>
          <w:sz w:val="24"/>
          <w:szCs w:val="24"/>
        </w:rPr>
        <w:fldChar w:fldCharType="separate"/>
      </w:r>
      <w:r>
        <w:rPr>
          <w:sz w:val="24"/>
          <w:szCs w:val="24"/>
        </w:rPr>
        <w:t>39</w:t>
      </w:r>
      <w:r>
        <w:rPr>
          <w:sz w:val="24"/>
          <w:szCs w:val="24"/>
        </w:rPr>
        <w:fldChar w:fldCharType="end"/>
      </w:r>
      <w:r>
        <w:rPr>
          <w:rFonts w:hint="eastAsia" w:ascii="宋体" w:hAnsi="宋体" w:eastAsia="宋体" w:cs="宋体"/>
          <w:sz w:val="24"/>
          <w:szCs w:val="24"/>
        </w:rPr>
        <w:fldChar w:fldCharType="end"/>
      </w:r>
    </w:p>
    <w:p>
      <w:pPr>
        <w:pStyle w:val="15"/>
        <w:tabs>
          <w:tab w:val="right" w:leader="dot" w:pos="9321"/>
        </w:tabs>
        <w:spacing w:line="48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_Toc25312 </w:instrText>
      </w:r>
      <w:r>
        <w:rPr>
          <w:rFonts w:hint="eastAsia" w:ascii="宋体" w:hAnsi="宋体" w:eastAsia="宋体" w:cs="宋体"/>
          <w:sz w:val="24"/>
          <w:szCs w:val="24"/>
        </w:rPr>
        <w:fldChar w:fldCharType="separate"/>
      </w:r>
      <w:r>
        <w:rPr>
          <w:rFonts w:hint="eastAsia"/>
          <w:sz w:val="24"/>
          <w:szCs w:val="24"/>
          <w:lang w:val="en-US" w:eastAsia="zh-CN"/>
        </w:rPr>
        <w:t>三、分项报价一览表</w:t>
      </w:r>
      <w:r>
        <w:rPr>
          <w:sz w:val="24"/>
          <w:szCs w:val="24"/>
        </w:rPr>
        <w:tab/>
      </w:r>
      <w:r>
        <w:rPr>
          <w:sz w:val="24"/>
          <w:szCs w:val="24"/>
        </w:rPr>
        <w:fldChar w:fldCharType="begin"/>
      </w:r>
      <w:r>
        <w:rPr>
          <w:sz w:val="24"/>
          <w:szCs w:val="24"/>
        </w:rPr>
        <w:instrText xml:space="preserve"> PAGEREF _Toc25312 \h </w:instrText>
      </w:r>
      <w:r>
        <w:rPr>
          <w:sz w:val="24"/>
          <w:szCs w:val="24"/>
        </w:rPr>
        <w:fldChar w:fldCharType="separate"/>
      </w:r>
      <w:r>
        <w:rPr>
          <w:sz w:val="24"/>
          <w:szCs w:val="24"/>
        </w:rPr>
        <w:t>40</w:t>
      </w:r>
      <w:r>
        <w:rPr>
          <w:sz w:val="24"/>
          <w:szCs w:val="24"/>
        </w:rPr>
        <w:fldChar w:fldCharType="end"/>
      </w:r>
      <w:r>
        <w:rPr>
          <w:rFonts w:hint="eastAsia" w:ascii="宋体" w:hAnsi="宋体" w:eastAsia="宋体" w:cs="宋体"/>
          <w:sz w:val="24"/>
          <w:szCs w:val="24"/>
        </w:rPr>
        <w:fldChar w:fldCharType="end"/>
      </w:r>
    </w:p>
    <w:p>
      <w:pPr>
        <w:pStyle w:val="15"/>
        <w:tabs>
          <w:tab w:val="right" w:leader="dot" w:pos="9321"/>
        </w:tabs>
        <w:spacing w:line="48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_Toc26069 </w:instrText>
      </w:r>
      <w:r>
        <w:rPr>
          <w:rFonts w:hint="eastAsia" w:ascii="宋体" w:hAnsi="宋体" w:eastAsia="宋体" w:cs="宋体"/>
          <w:sz w:val="24"/>
          <w:szCs w:val="24"/>
        </w:rPr>
        <w:fldChar w:fldCharType="separate"/>
      </w:r>
      <w:r>
        <w:rPr>
          <w:rFonts w:hint="eastAsia" w:ascii="宋体" w:hAnsi="宋体" w:eastAsia="宋体"/>
          <w:sz w:val="24"/>
          <w:szCs w:val="24"/>
        </w:rPr>
        <w:t>四、已标价工程量清单</w:t>
      </w:r>
      <w:r>
        <w:rPr>
          <w:sz w:val="24"/>
          <w:szCs w:val="24"/>
        </w:rPr>
        <w:tab/>
      </w:r>
      <w:r>
        <w:rPr>
          <w:sz w:val="24"/>
          <w:szCs w:val="24"/>
        </w:rPr>
        <w:fldChar w:fldCharType="begin"/>
      </w:r>
      <w:r>
        <w:rPr>
          <w:sz w:val="24"/>
          <w:szCs w:val="24"/>
        </w:rPr>
        <w:instrText xml:space="preserve"> PAGEREF _Toc26069 \h </w:instrText>
      </w:r>
      <w:r>
        <w:rPr>
          <w:sz w:val="24"/>
          <w:szCs w:val="24"/>
        </w:rPr>
        <w:fldChar w:fldCharType="separate"/>
      </w:r>
      <w:r>
        <w:rPr>
          <w:sz w:val="24"/>
          <w:szCs w:val="24"/>
        </w:rPr>
        <w:t>41</w:t>
      </w:r>
      <w:r>
        <w:rPr>
          <w:sz w:val="24"/>
          <w:szCs w:val="24"/>
        </w:rPr>
        <w:fldChar w:fldCharType="end"/>
      </w:r>
      <w:r>
        <w:rPr>
          <w:rFonts w:hint="eastAsia" w:ascii="宋体" w:hAnsi="宋体" w:eastAsia="宋体" w:cs="宋体"/>
          <w:sz w:val="24"/>
          <w:szCs w:val="24"/>
        </w:rPr>
        <w:fldChar w:fldCharType="end"/>
      </w:r>
    </w:p>
    <w:p>
      <w:pPr>
        <w:pStyle w:val="15"/>
        <w:tabs>
          <w:tab w:val="right" w:leader="dot" w:pos="9321"/>
        </w:tabs>
        <w:spacing w:line="48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_Toc17261 </w:instrText>
      </w:r>
      <w:r>
        <w:rPr>
          <w:rFonts w:hint="eastAsia" w:ascii="宋体" w:hAnsi="宋体" w:eastAsia="宋体" w:cs="宋体"/>
          <w:sz w:val="24"/>
          <w:szCs w:val="24"/>
        </w:rPr>
        <w:fldChar w:fldCharType="separate"/>
      </w:r>
      <w:r>
        <w:rPr>
          <w:rFonts w:hint="eastAsia" w:ascii="宋体" w:hAnsi="宋体" w:cs="宋体"/>
          <w:sz w:val="24"/>
          <w:szCs w:val="24"/>
        </w:rPr>
        <w:t>五、</w:t>
      </w:r>
      <w:r>
        <w:rPr>
          <w:rFonts w:hint="eastAsia" w:ascii="宋体" w:hAnsi="宋体" w:cs="宋体"/>
          <w:sz w:val="24"/>
          <w:szCs w:val="24"/>
          <w:lang w:val="en-US" w:eastAsia="zh-CN"/>
        </w:rPr>
        <w:t>技术服务方案</w:t>
      </w:r>
      <w:r>
        <w:rPr>
          <w:sz w:val="24"/>
          <w:szCs w:val="24"/>
        </w:rPr>
        <w:tab/>
      </w:r>
      <w:r>
        <w:rPr>
          <w:sz w:val="24"/>
          <w:szCs w:val="24"/>
        </w:rPr>
        <w:fldChar w:fldCharType="begin"/>
      </w:r>
      <w:r>
        <w:rPr>
          <w:sz w:val="24"/>
          <w:szCs w:val="24"/>
        </w:rPr>
        <w:instrText xml:space="preserve"> PAGEREF _Toc17261 \h </w:instrText>
      </w:r>
      <w:r>
        <w:rPr>
          <w:sz w:val="24"/>
          <w:szCs w:val="24"/>
        </w:rPr>
        <w:fldChar w:fldCharType="separate"/>
      </w:r>
      <w:r>
        <w:rPr>
          <w:sz w:val="24"/>
          <w:szCs w:val="24"/>
        </w:rPr>
        <w:t>42</w:t>
      </w:r>
      <w:r>
        <w:rPr>
          <w:sz w:val="24"/>
          <w:szCs w:val="24"/>
        </w:rPr>
        <w:fldChar w:fldCharType="end"/>
      </w:r>
      <w:r>
        <w:rPr>
          <w:rFonts w:hint="eastAsia" w:ascii="宋体" w:hAnsi="宋体" w:eastAsia="宋体" w:cs="宋体"/>
          <w:sz w:val="24"/>
          <w:szCs w:val="24"/>
        </w:rPr>
        <w:fldChar w:fldCharType="end"/>
      </w:r>
    </w:p>
    <w:p>
      <w:pPr>
        <w:pStyle w:val="15"/>
        <w:tabs>
          <w:tab w:val="right" w:leader="dot" w:pos="9321"/>
        </w:tabs>
        <w:spacing w:line="48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_Toc23663 </w:instrText>
      </w:r>
      <w:r>
        <w:rPr>
          <w:rFonts w:hint="eastAsia" w:ascii="宋体" w:hAnsi="宋体" w:eastAsia="宋体" w:cs="宋体"/>
          <w:sz w:val="24"/>
          <w:szCs w:val="24"/>
        </w:rPr>
        <w:fldChar w:fldCharType="separate"/>
      </w:r>
      <w:r>
        <w:rPr>
          <w:rFonts w:hint="eastAsia"/>
          <w:bCs/>
          <w:sz w:val="24"/>
          <w:szCs w:val="24"/>
          <w:lang w:val="en-US" w:eastAsia="zh-CN"/>
        </w:rPr>
        <w:t>六、</w:t>
      </w:r>
      <w:r>
        <w:rPr>
          <w:rFonts w:hint="eastAsia"/>
          <w:bCs/>
          <w:sz w:val="24"/>
          <w:szCs w:val="24"/>
        </w:rPr>
        <w:t>商务和技术偏离表</w:t>
      </w:r>
      <w:r>
        <w:rPr>
          <w:sz w:val="24"/>
          <w:szCs w:val="24"/>
        </w:rPr>
        <w:tab/>
      </w:r>
      <w:r>
        <w:rPr>
          <w:sz w:val="24"/>
          <w:szCs w:val="24"/>
        </w:rPr>
        <w:fldChar w:fldCharType="begin"/>
      </w:r>
      <w:r>
        <w:rPr>
          <w:sz w:val="24"/>
          <w:szCs w:val="24"/>
        </w:rPr>
        <w:instrText xml:space="preserve"> PAGEREF _Toc23663 \h </w:instrText>
      </w:r>
      <w:r>
        <w:rPr>
          <w:sz w:val="24"/>
          <w:szCs w:val="24"/>
        </w:rPr>
        <w:fldChar w:fldCharType="separate"/>
      </w:r>
      <w:r>
        <w:rPr>
          <w:sz w:val="24"/>
          <w:szCs w:val="24"/>
        </w:rPr>
        <w:t>43</w:t>
      </w:r>
      <w:r>
        <w:rPr>
          <w:sz w:val="24"/>
          <w:szCs w:val="24"/>
        </w:rPr>
        <w:fldChar w:fldCharType="end"/>
      </w:r>
      <w:r>
        <w:rPr>
          <w:rFonts w:hint="eastAsia" w:ascii="宋体" w:hAnsi="宋体" w:eastAsia="宋体" w:cs="宋体"/>
          <w:sz w:val="24"/>
          <w:szCs w:val="24"/>
        </w:rPr>
        <w:fldChar w:fldCharType="end"/>
      </w:r>
    </w:p>
    <w:p>
      <w:pPr>
        <w:pStyle w:val="15"/>
        <w:tabs>
          <w:tab w:val="right" w:leader="dot" w:pos="9321"/>
        </w:tabs>
        <w:spacing w:line="48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_Toc3197 </w:instrText>
      </w:r>
      <w:r>
        <w:rPr>
          <w:rFonts w:hint="eastAsia" w:ascii="宋体" w:hAnsi="宋体" w:eastAsia="宋体" w:cs="宋体"/>
          <w:sz w:val="24"/>
          <w:szCs w:val="24"/>
        </w:rPr>
        <w:fldChar w:fldCharType="separate"/>
      </w:r>
      <w:r>
        <w:rPr>
          <w:rFonts w:hint="eastAsia" w:ascii="宋体" w:hAnsi="宋体" w:cs="宋体"/>
          <w:bCs/>
          <w:sz w:val="24"/>
          <w:szCs w:val="24"/>
        </w:rPr>
        <w:t>七、资格审查资料</w:t>
      </w:r>
      <w:r>
        <w:rPr>
          <w:sz w:val="24"/>
          <w:szCs w:val="24"/>
        </w:rPr>
        <w:tab/>
      </w:r>
      <w:r>
        <w:rPr>
          <w:sz w:val="24"/>
          <w:szCs w:val="24"/>
        </w:rPr>
        <w:fldChar w:fldCharType="begin"/>
      </w:r>
      <w:r>
        <w:rPr>
          <w:sz w:val="24"/>
          <w:szCs w:val="24"/>
        </w:rPr>
        <w:instrText xml:space="preserve"> PAGEREF _Toc3197 \h </w:instrText>
      </w:r>
      <w:r>
        <w:rPr>
          <w:sz w:val="24"/>
          <w:szCs w:val="24"/>
        </w:rPr>
        <w:fldChar w:fldCharType="separate"/>
      </w:r>
      <w:r>
        <w:rPr>
          <w:sz w:val="24"/>
          <w:szCs w:val="24"/>
        </w:rPr>
        <w:t>44</w:t>
      </w:r>
      <w:r>
        <w:rPr>
          <w:sz w:val="24"/>
          <w:szCs w:val="24"/>
        </w:rPr>
        <w:fldChar w:fldCharType="end"/>
      </w:r>
      <w:r>
        <w:rPr>
          <w:rFonts w:hint="eastAsia" w:ascii="宋体" w:hAnsi="宋体" w:eastAsia="宋体" w:cs="宋体"/>
          <w:sz w:val="24"/>
          <w:szCs w:val="24"/>
        </w:rPr>
        <w:fldChar w:fldCharType="end"/>
      </w:r>
    </w:p>
    <w:p>
      <w:pPr>
        <w:pStyle w:val="15"/>
        <w:tabs>
          <w:tab w:val="right" w:leader="dot" w:pos="9321"/>
        </w:tabs>
        <w:spacing w:line="48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_Toc6599 </w:instrText>
      </w:r>
      <w:r>
        <w:rPr>
          <w:rFonts w:hint="eastAsia" w:ascii="宋体" w:hAnsi="宋体" w:eastAsia="宋体" w:cs="宋体"/>
          <w:sz w:val="24"/>
          <w:szCs w:val="24"/>
        </w:rPr>
        <w:fldChar w:fldCharType="separate"/>
      </w:r>
      <w:r>
        <w:rPr>
          <w:rFonts w:hint="eastAsia" w:ascii="宋体" w:hAnsi="宋体" w:eastAsia="宋体"/>
          <w:sz w:val="24"/>
          <w:szCs w:val="24"/>
        </w:rPr>
        <w:t>八、其他资料</w:t>
      </w:r>
      <w:r>
        <w:rPr>
          <w:sz w:val="24"/>
          <w:szCs w:val="24"/>
        </w:rPr>
        <w:tab/>
      </w:r>
      <w:r>
        <w:rPr>
          <w:sz w:val="24"/>
          <w:szCs w:val="24"/>
        </w:rPr>
        <w:fldChar w:fldCharType="begin"/>
      </w:r>
      <w:r>
        <w:rPr>
          <w:sz w:val="24"/>
          <w:szCs w:val="24"/>
        </w:rPr>
        <w:instrText xml:space="preserve"> PAGEREF _Toc6599 \h </w:instrText>
      </w:r>
      <w:r>
        <w:rPr>
          <w:sz w:val="24"/>
          <w:szCs w:val="24"/>
        </w:rPr>
        <w:fldChar w:fldCharType="separate"/>
      </w:r>
      <w:r>
        <w:rPr>
          <w:sz w:val="24"/>
          <w:szCs w:val="24"/>
        </w:rPr>
        <w:t>46</w:t>
      </w:r>
      <w:r>
        <w:rPr>
          <w:sz w:val="24"/>
          <w:szCs w:val="24"/>
        </w:rPr>
        <w:fldChar w:fldCharType="end"/>
      </w:r>
      <w:r>
        <w:rPr>
          <w:rFonts w:hint="eastAsia" w:ascii="宋体" w:hAnsi="宋体" w:eastAsia="宋体" w:cs="宋体"/>
          <w:sz w:val="24"/>
          <w:szCs w:val="24"/>
        </w:rPr>
        <w:fldChar w:fldCharType="end"/>
      </w:r>
    </w:p>
    <w:p>
      <w:pPr>
        <w:spacing w:line="480" w:lineRule="auto"/>
      </w:pPr>
      <w:r>
        <w:rPr>
          <w:rFonts w:hint="eastAsia" w:ascii="宋体" w:hAnsi="宋体" w:eastAsia="宋体" w:cs="宋体"/>
          <w:sz w:val="24"/>
          <w:szCs w:val="24"/>
        </w:rPr>
        <w:fldChar w:fldCharType="end"/>
      </w:r>
    </w:p>
    <w:p>
      <w:pPr>
        <w:rPr>
          <w:rFonts w:hint="eastAsia"/>
        </w:rPr>
      </w:pPr>
      <w:r>
        <w:rPr>
          <w:rFonts w:hint="eastAsia"/>
        </w:rPr>
        <w:br w:type="page"/>
      </w:r>
    </w:p>
    <w:bookmarkEnd w:id="2"/>
    <w:bookmarkEnd w:id="3"/>
    <w:bookmarkEnd w:id="4"/>
    <w:p>
      <w:pPr>
        <w:pStyle w:val="7"/>
        <w:tabs>
          <w:tab w:val="left" w:pos="0"/>
        </w:tabs>
        <w:autoSpaceDE w:val="0"/>
        <w:autoSpaceDN w:val="0"/>
        <w:adjustRightInd w:val="0"/>
        <w:spacing w:before="0" w:after="0" w:line="360" w:lineRule="auto"/>
        <w:jc w:val="center"/>
        <w:rPr>
          <w:rFonts w:ascii="华文中宋" w:hAnsi="华文中宋" w:eastAsia="华文中宋"/>
        </w:rPr>
      </w:pPr>
      <w:bookmarkStart w:id="5" w:name="_Toc24295"/>
      <w:bookmarkStart w:id="6" w:name="_Toc35393797"/>
      <w:bookmarkStart w:id="7" w:name="_Toc28359011"/>
      <w:r>
        <w:rPr>
          <w:rFonts w:hint="eastAsia" w:ascii="宋体" w:hAnsi="宋体"/>
          <w:sz w:val="32"/>
          <w:szCs w:val="32"/>
        </w:rPr>
        <w:t>第</w:t>
      </w:r>
      <w:r>
        <w:rPr>
          <w:rFonts w:hint="eastAsia" w:ascii="宋体" w:hAnsi="宋体"/>
          <w:sz w:val="32"/>
          <w:szCs w:val="32"/>
          <w:lang w:val="en-US" w:eastAsia="zh-CN"/>
        </w:rPr>
        <w:t>一</w:t>
      </w:r>
      <w:r>
        <w:rPr>
          <w:rFonts w:hint="eastAsia" w:ascii="宋体" w:hAnsi="宋体"/>
          <w:sz w:val="32"/>
          <w:szCs w:val="32"/>
        </w:rPr>
        <w:t xml:space="preserve">章 </w:t>
      </w:r>
      <w:r>
        <w:rPr>
          <w:rFonts w:hint="eastAsia" w:ascii="华文中宋" w:hAnsi="华文中宋" w:eastAsia="华文中宋"/>
        </w:rPr>
        <w:t>竞争性磋商公告</w:t>
      </w:r>
      <w:bookmarkEnd w:id="5"/>
      <w:bookmarkEnd w:id="6"/>
      <w:bookmarkEnd w:id="7"/>
    </w:p>
    <w:p>
      <w:pPr>
        <w:spacing w:line="360" w:lineRule="auto"/>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rPr>
        <w:t>项目概况</w:t>
      </w:r>
    </w:p>
    <w:p>
      <w:pPr>
        <w:spacing w:line="360" w:lineRule="auto"/>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lang w:eastAsia="zh-CN"/>
        </w:rPr>
        <w:t>平顶山市卫东区农业农村和水利局2023年卫东区光华路街道0.3万亩高标准农田建设项目</w:t>
      </w:r>
      <w:r>
        <w:rPr>
          <w:rFonts w:hint="eastAsia" w:ascii="宋体" w:hAnsi="宋体" w:eastAsia="宋体" w:cs="宋体"/>
          <w:i w:val="0"/>
          <w:iCs w:val="0"/>
          <w:sz w:val="24"/>
          <w:szCs w:val="24"/>
          <w:u w:val="none"/>
        </w:rPr>
        <w:t>的潜在供应商应在平顶山市公共资源交易中心网（网址：</w:t>
      </w:r>
      <w:r>
        <w:rPr>
          <w:rFonts w:hint="eastAsia" w:ascii="宋体" w:hAnsi="宋体" w:eastAsia="宋体" w:cs="宋体"/>
          <w:i w:val="0"/>
          <w:iCs w:val="0"/>
          <w:sz w:val="24"/>
          <w:szCs w:val="24"/>
          <w:u w:val="none"/>
        </w:rPr>
        <w:fldChar w:fldCharType="begin"/>
      </w:r>
      <w:r>
        <w:rPr>
          <w:rFonts w:hint="eastAsia" w:ascii="宋体" w:hAnsi="宋体" w:eastAsia="宋体" w:cs="宋体"/>
          <w:i w:val="0"/>
          <w:iCs w:val="0"/>
          <w:sz w:val="24"/>
          <w:szCs w:val="24"/>
          <w:u w:val="none"/>
        </w:rPr>
        <w:instrText xml:space="preserve"> HYPERLINK "http://www.pdsggzy.com/）获取招标文件，并于2023年" </w:instrText>
      </w:r>
      <w:r>
        <w:rPr>
          <w:rFonts w:hint="eastAsia" w:ascii="宋体" w:hAnsi="宋体" w:eastAsia="宋体" w:cs="宋体"/>
          <w:i w:val="0"/>
          <w:iCs w:val="0"/>
          <w:sz w:val="24"/>
          <w:szCs w:val="24"/>
          <w:u w:val="none"/>
        </w:rPr>
        <w:fldChar w:fldCharType="separate"/>
      </w:r>
      <w:r>
        <w:rPr>
          <w:rFonts w:hint="eastAsia" w:ascii="宋体" w:hAnsi="宋体" w:eastAsia="宋体" w:cs="宋体"/>
          <w:i w:val="0"/>
          <w:iCs w:val="0"/>
          <w:sz w:val="24"/>
          <w:szCs w:val="24"/>
        </w:rPr>
        <w:t>http://www.pdsggzy.com/）获取</w:t>
      </w:r>
      <w:r>
        <w:rPr>
          <w:rFonts w:hint="eastAsia" w:ascii="宋体" w:hAnsi="宋体" w:eastAsia="宋体" w:cs="宋体"/>
          <w:i w:val="0"/>
          <w:iCs w:val="0"/>
          <w:sz w:val="24"/>
          <w:szCs w:val="24"/>
          <w:lang w:val="en-US" w:eastAsia="zh-CN"/>
        </w:rPr>
        <w:t>招标</w:t>
      </w:r>
      <w:r>
        <w:rPr>
          <w:rFonts w:hint="eastAsia" w:ascii="宋体" w:hAnsi="宋体" w:eastAsia="宋体" w:cs="宋体"/>
          <w:i w:val="0"/>
          <w:iCs w:val="0"/>
          <w:sz w:val="24"/>
          <w:szCs w:val="24"/>
        </w:rPr>
        <w:t>文件，并于</w:t>
      </w:r>
      <w:r>
        <w:rPr>
          <w:rFonts w:hint="eastAsia" w:ascii="宋体" w:hAnsi="宋体" w:eastAsia="宋体" w:cs="宋体"/>
          <w:i w:val="0"/>
          <w:iCs w:val="0"/>
          <w:sz w:val="24"/>
          <w:szCs w:val="24"/>
          <w:lang w:val="en-US" w:eastAsia="zh-CN"/>
        </w:rPr>
        <w:t>2023</w:t>
      </w:r>
      <w:r>
        <w:rPr>
          <w:rFonts w:hint="eastAsia" w:ascii="宋体" w:hAnsi="宋体" w:eastAsia="宋体" w:cs="宋体"/>
          <w:bCs/>
          <w:i w:val="0"/>
          <w:iCs w:val="0"/>
          <w:sz w:val="24"/>
          <w:szCs w:val="24"/>
        </w:rPr>
        <w:t>年</w:t>
      </w:r>
      <w:r>
        <w:rPr>
          <w:rFonts w:hint="eastAsia" w:ascii="宋体" w:hAnsi="宋体" w:eastAsia="宋体" w:cs="宋体"/>
          <w:i w:val="0"/>
          <w:iCs w:val="0"/>
          <w:sz w:val="24"/>
          <w:szCs w:val="24"/>
          <w:u w:val="none"/>
        </w:rPr>
        <w:fldChar w:fldCharType="end"/>
      </w:r>
      <w:r>
        <w:rPr>
          <w:rFonts w:hint="eastAsia" w:ascii="宋体" w:hAnsi="宋体" w:eastAsia="宋体" w:cs="宋体"/>
          <w:i w:val="0"/>
          <w:iCs w:val="0"/>
          <w:sz w:val="24"/>
          <w:szCs w:val="24"/>
          <w:highlight w:val="none"/>
          <w:u w:val="none"/>
          <w:lang w:val="en-US" w:eastAsia="zh-CN"/>
        </w:rPr>
        <w:t>09</w:t>
      </w:r>
      <w:r>
        <w:rPr>
          <w:rFonts w:hint="eastAsia" w:ascii="宋体" w:hAnsi="宋体" w:eastAsia="宋体" w:cs="宋体"/>
          <w:bCs/>
          <w:i w:val="0"/>
          <w:iCs w:val="0"/>
          <w:sz w:val="24"/>
          <w:szCs w:val="24"/>
          <w:highlight w:val="none"/>
          <w:u w:val="none"/>
        </w:rPr>
        <w:t>月</w:t>
      </w:r>
      <w:r>
        <w:rPr>
          <w:rFonts w:hint="eastAsia" w:ascii="宋体" w:hAnsi="宋体" w:cs="宋体"/>
          <w:bCs/>
          <w:i w:val="0"/>
          <w:iCs w:val="0"/>
          <w:sz w:val="24"/>
          <w:szCs w:val="24"/>
          <w:highlight w:val="none"/>
          <w:u w:val="none"/>
          <w:lang w:val="en-US" w:eastAsia="zh-CN"/>
        </w:rPr>
        <w:t>22</w:t>
      </w:r>
      <w:r>
        <w:rPr>
          <w:rFonts w:hint="eastAsia" w:ascii="宋体" w:hAnsi="宋体" w:eastAsia="宋体" w:cs="宋体"/>
          <w:bCs/>
          <w:i w:val="0"/>
          <w:iCs w:val="0"/>
          <w:sz w:val="24"/>
          <w:szCs w:val="24"/>
          <w:highlight w:val="none"/>
          <w:u w:val="none"/>
        </w:rPr>
        <w:t>日</w:t>
      </w:r>
      <w:r>
        <w:rPr>
          <w:rFonts w:hint="eastAsia" w:ascii="宋体" w:hAnsi="宋体" w:cs="宋体"/>
          <w:bCs/>
          <w:i w:val="0"/>
          <w:iCs w:val="0"/>
          <w:sz w:val="24"/>
          <w:szCs w:val="24"/>
          <w:highlight w:val="none"/>
          <w:u w:val="none"/>
          <w:lang w:val="en-US" w:eastAsia="zh-CN"/>
        </w:rPr>
        <w:t>09</w:t>
      </w:r>
      <w:r>
        <w:rPr>
          <w:rFonts w:hint="eastAsia" w:ascii="宋体" w:hAnsi="宋体" w:eastAsia="宋体" w:cs="宋体"/>
          <w:bCs/>
          <w:i w:val="0"/>
          <w:iCs w:val="0"/>
          <w:sz w:val="24"/>
          <w:szCs w:val="24"/>
          <w:highlight w:val="none"/>
          <w:u w:val="none"/>
        </w:rPr>
        <w:t>点</w:t>
      </w:r>
      <w:r>
        <w:rPr>
          <w:rFonts w:hint="eastAsia" w:ascii="宋体" w:hAnsi="宋体" w:cs="宋体"/>
          <w:bCs/>
          <w:i w:val="0"/>
          <w:iCs w:val="0"/>
          <w:sz w:val="24"/>
          <w:szCs w:val="24"/>
          <w:highlight w:val="none"/>
          <w:u w:val="none"/>
          <w:lang w:val="en-US" w:eastAsia="zh-CN"/>
        </w:rPr>
        <w:t>00</w:t>
      </w:r>
      <w:r>
        <w:rPr>
          <w:rFonts w:hint="eastAsia" w:ascii="宋体" w:hAnsi="宋体" w:eastAsia="宋体" w:cs="宋体"/>
          <w:bCs/>
          <w:i w:val="0"/>
          <w:iCs w:val="0"/>
          <w:sz w:val="24"/>
          <w:szCs w:val="24"/>
          <w:highlight w:val="none"/>
          <w:u w:val="none"/>
        </w:rPr>
        <w:t>分</w:t>
      </w:r>
      <w:r>
        <w:rPr>
          <w:rFonts w:hint="eastAsia" w:ascii="宋体" w:hAnsi="宋体" w:eastAsia="宋体" w:cs="宋体"/>
          <w:bCs/>
          <w:i w:val="0"/>
          <w:iCs w:val="0"/>
          <w:sz w:val="24"/>
          <w:szCs w:val="24"/>
          <w:u w:val="none"/>
        </w:rPr>
        <w:t>（北京时间）前提交响应文件</w:t>
      </w:r>
      <w:r>
        <w:rPr>
          <w:rFonts w:hint="eastAsia" w:ascii="宋体" w:hAnsi="宋体" w:eastAsia="宋体" w:cs="宋体"/>
          <w:i w:val="0"/>
          <w:iCs w:val="0"/>
          <w:sz w:val="24"/>
          <w:szCs w:val="24"/>
          <w:u w:val="none"/>
        </w:rPr>
        <w:t>。</w:t>
      </w:r>
    </w:p>
    <w:p>
      <w:pPr>
        <w:bidi w:val="0"/>
        <w:spacing w:line="360" w:lineRule="auto"/>
        <w:rPr>
          <w:rFonts w:hint="eastAsia" w:ascii="宋体" w:hAnsi="宋体" w:eastAsia="宋体" w:cs="宋体"/>
          <w:sz w:val="24"/>
          <w:szCs w:val="24"/>
        </w:rPr>
      </w:pPr>
      <w:bookmarkStart w:id="8" w:name="_Toc35393798"/>
      <w:bookmarkStart w:id="9" w:name="_Toc28359089"/>
      <w:bookmarkStart w:id="10" w:name="_Toc35393629"/>
      <w:bookmarkStart w:id="11" w:name="_Toc28359012"/>
      <w:r>
        <w:rPr>
          <w:rFonts w:hint="eastAsia" w:ascii="宋体" w:hAnsi="宋体" w:eastAsia="宋体" w:cs="宋体"/>
          <w:sz w:val="24"/>
          <w:szCs w:val="24"/>
        </w:rPr>
        <w:t>一、项目基本情况</w:t>
      </w:r>
      <w:bookmarkEnd w:id="8"/>
      <w:bookmarkEnd w:id="9"/>
      <w:bookmarkEnd w:id="10"/>
      <w:bookmarkEnd w:id="11"/>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项目编号：</w:t>
      </w:r>
      <w:r>
        <w:rPr>
          <w:rFonts w:hint="eastAsia" w:ascii="宋体" w:hAnsi="宋体" w:eastAsia="宋体" w:cs="宋体"/>
          <w:sz w:val="24"/>
          <w:szCs w:val="24"/>
          <w:lang w:val="en-US" w:eastAsia="zh-CN"/>
        </w:rPr>
        <w:t>2023-08-8</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项目名称：</w:t>
      </w:r>
      <w:r>
        <w:rPr>
          <w:rFonts w:hint="eastAsia" w:ascii="宋体" w:hAnsi="宋体" w:eastAsia="宋体" w:cs="宋体"/>
          <w:i w:val="0"/>
          <w:iCs w:val="0"/>
          <w:sz w:val="24"/>
          <w:szCs w:val="24"/>
          <w:u w:val="none"/>
          <w:lang w:eastAsia="zh-CN"/>
        </w:rPr>
        <w:t>平顶山市卫东区农业农村和水利局2023年卫东区光华路街道0.3万亩高标准农田建设项目</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采购方式：竞争性磋商</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预算金额：</w:t>
      </w:r>
      <w:r>
        <w:rPr>
          <w:rFonts w:hint="eastAsia" w:ascii="宋体" w:hAnsi="宋体" w:eastAsia="宋体" w:cs="宋体"/>
          <w:sz w:val="24"/>
          <w:szCs w:val="24"/>
          <w:lang w:val="en-US" w:eastAsia="zh-CN"/>
        </w:rPr>
        <w:t>3754</w:t>
      </w:r>
      <w:r>
        <w:rPr>
          <w:rFonts w:hint="eastAsia" w:ascii="宋体" w:hAnsi="宋体" w:cs="宋体"/>
          <w:sz w:val="24"/>
          <w:szCs w:val="24"/>
          <w:lang w:val="en-US" w:eastAsia="zh-CN"/>
        </w:rPr>
        <w:t>275.37</w:t>
      </w:r>
      <w:r>
        <w:rPr>
          <w:rFonts w:hint="eastAsia" w:ascii="宋体" w:hAnsi="宋体" w:eastAsia="宋体" w:cs="宋体"/>
          <w:sz w:val="24"/>
          <w:szCs w:val="24"/>
          <w:lang w:val="en-US" w:eastAsia="zh-CN"/>
        </w:rPr>
        <w:t>元</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最高限价：</w:t>
      </w:r>
      <w:r>
        <w:rPr>
          <w:rFonts w:hint="eastAsia" w:ascii="宋体" w:hAnsi="宋体" w:eastAsia="宋体" w:cs="宋体"/>
          <w:sz w:val="24"/>
          <w:szCs w:val="24"/>
          <w:lang w:val="en-US" w:eastAsia="zh-CN"/>
        </w:rPr>
        <w:t>3754</w:t>
      </w:r>
      <w:r>
        <w:rPr>
          <w:rFonts w:hint="eastAsia" w:ascii="宋体" w:hAnsi="宋体" w:cs="宋体"/>
          <w:sz w:val="24"/>
          <w:szCs w:val="24"/>
          <w:lang w:val="en-US" w:eastAsia="zh-CN"/>
        </w:rPr>
        <w:t>275.37</w:t>
      </w:r>
      <w:r>
        <w:rPr>
          <w:rFonts w:hint="eastAsia" w:ascii="宋体" w:hAnsi="宋体" w:eastAsia="宋体" w:cs="宋体"/>
          <w:sz w:val="24"/>
          <w:szCs w:val="24"/>
          <w:lang w:val="en-US" w:eastAsia="zh-CN"/>
        </w:rPr>
        <w:t>元</w:t>
      </w:r>
    </w:p>
    <w:tbl>
      <w:tblPr>
        <w:tblStyle w:val="18"/>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765"/>
        <w:gridCol w:w="2283"/>
        <w:gridCol w:w="1416"/>
        <w:gridCol w:w="1416"/>
        <w:gridCol w:w="1277"/>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Pr>
          <w:p>
            <w:pPr>
              <w:bidi w:val="0"/>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826" w:type="dxa"/>
          </w:tcPr>
          <w:p>
            <w:pPr>
              <w:bidi w:val="0"/>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包号</w:t>
            </w:r>
          </w:p>
        </w:tc>
        <w:tc>
          <w:tcPr>
            <w:tcW w:w="2599" w:type="dxa"/>
          </w:tcPr>
          <w:p>
            <w:pPr>
              <w:bidi w:val="0"/>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包名称</w:t>
            </w:r>
          </w:p>
        </w:tc>
        <w:tc>
          <w:tcPr>
            <w:tcW w:w="1056" w:type="dxa"/>
          </w:tcPr>
          <w:p>
            <w:pPr>
              <w:bidi w:val="0"/>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包预算</w:t>
            </w:r>
          </w:p>
          <w:p>
            <w:pPr>
              <w:bidi w:val="0"/>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w:t>
            </w:r>
          </w:p>
        </w:tc>
        <w:tc>
          <w:tcPr>
            <w:tcW w:w="1280" w:type="dxa"/>
          </w:tcPr>
          <w:p>
            <w:pPr>
              <w:bidi w:val="0"/>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包最高限价（元）</w:t>
            </w:r>
          </w:p>
        </w:tc>
        <w:tc>
          <w:tcPr>
            <w:tcW w:w="1441" w:type="dxa"/>
          </w:tcPr>
          <w:p>
            <w:pPr>
              <w:bidi w:val="0"/>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是否专门面向中小企业</w:t>
            </w:r>
          </w:p>
        </w:tc>
        <w:tc>
          <w:tcPr>
            <w:tcW w:w="1326" w:type="dxa"/>
          </w:tcPr>
          <w:p>
            <w:pPr>
              <w:bidi w:val="0"/>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bidi w:val="0"/>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826" w:type="dxa"/>
            <w:vAlign w:val="center"/>
          </w:tcPr>
          <w:p>
            <w:pPr>
              <w:bidi w:val="0"/>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包1</w:t>
            </w:r>
          </w:p>
        </w:tc>
        <w:tc>
          <w:tcPr>
            <w:tcW w:w="2599" w:type="dxa"/>
            <w:vAlign w:val="center"/>
          </w:tcPr>
          <w:p>
            <w:pPr>
              <w:bidi w:val="0"/>
              <w:spacing w:line="240"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土壤改良（包括商品有机肥和土壤调理剂）</w:t>
            </w:r>
          </w:p>
        </w:tc>
        <w:tc>
          <w:tcPr>
            <w:tcW w:w="1056" w:type="dxa"/>
            <w:vAlign w:val="center"/>
          </w:tcPr>
          <w:p>
            <w:pPr>
              <w:bidi w:val="0"/>
              <w:spacing w:line="240"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719400</w:t>
            </w:r>
          </w:p>
        </w:tc>
        <w:tc>
          <w:tcPr>
            <w:tcW w:w="1280" w:type="dxa"/>
            <w:vAlign w:val="center"/>
          </w:tcPr>
          <w:p>
            <w:pPr>
              <w:bidi w:val="0"/>
              <w:spacing w:line="240"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719400</w:t>
            </w:r>
          </w:p>
        </w:tc>
        <w:tc>
          <w:tcPr>
            <w:tcW w:w="1441" w:type="dxa"/>
            <w:vAlign w:val="center"/>
          </w:tcPr>
          <w:p>
            <w:pPr>
              <w:bidi w:val="0"/>
              <w:spacing w:line="240"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是</w:t>
            </w:r>
          </w:p>
        </w:tc>
        <w:tc>
          <w:tcPr>
            <w:tcW w:w="1326" w:type="dxa"/>
            <w:vAlign w:val="center"/>
          </w:tcPr>
          <w:p>
            <w:pPr>
              <w:bidi w:val="0"/>
              <w:spacing w:line="240"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719400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bidi w:val="0"/>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826" w:type="dxa"/>
            <w:vAlign w:val="center"/>
          </w:tcPr>
          <w:p>
            <w:pPr>
              <w:bidi w:val="0"/>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包2</w:t>
            </w:r>
          </w:p>
        </w:tc>
        <w:tc>
          <w:tcPr>
            <w:tcW w:w="2599" w:type="dxa"/>
            <w:vAlign w:val="center"/>
          </w:tcPr>
          <w:p>
            <w:pPr>
              <w:bidi w:val="0"/>
              <w:spacing w:line="240"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灌溉与排水、电力工程、田间道路工程、农田防护等</w:t>
            </w:r>
          </w:p>
        </w:tc>
        <w:tc>
          <w:tcPr>
            <w:tcW w:w="1056" w:type="dxa"/>
            <w:vAlign w:val="center"/>
          </w:tcPr>
          <w:p>
            <w:pPr>
              <w:bidi w:val="0"/>
              <w:spacing w:line="240"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3034</w:t>
            </w:r>
            <w:r>
              <w:rPr>
                <w:rFonts w:hint="eastAsia" w:ascii="宋体" w:hAnsi="宋体" w:cs="宋体"/>
                <w:sz w:val="24"/>
                <w:szCs w:val="24"/>
                <w:lang w:val="en-US" w:eastAsia="zh-CN"/>
              </w:rPr>
              <w:t>875.37</w:t>
            </w:r>
          </w:p>
        </w:tc>
        <w:tc>
          <w:tcPr>
            <w:tcW w:w="1280" w:type="dxa"/>
            <w:vAlign w:val="center"/>
          </w:tcPr>
          <w:p>
            <w:pPr>
              <w:bidi w:val="0"/>
              <w:spacing w:line="240"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3034</w:t>
            </w:r>
            <w:r>
              <w:rPr>
                <w:rFonts w:hint="eastAsia" w:ascii="宋体" w:hAnsi="宋体" w:cs="宋体"/>
                <w:sz w:val="24"/>
                <w:szCs w:val="24"/>
                <w:lang w:val="en-US" w:eastAsia="zh-CN"/>
              </w:rPr>
              <w:t>875.37</w:t>
            </w:r>
          </w:p>
        </w:tc>
        <w:tc>
          <w:tcPr>
            <w:tcW w:w="1441" w:type="dxa"/>
            <w:vAlign w:val="center"/>
          </w:tcPr>
          <w:p>
            <w:pPr>
              <w:bidi w:val="0"/>
              <w:spacing w:line="240"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是</w:t>
            </w:r>
          </w:p>
        </w:tc>
        <w:tc>
          <w:tcPr>
            <w:tcW w:w="1326" w:type="dxa"/>
            <w:vAlign w:val="center"/>
          </w:tcPr>
          <w:p>
            <w:pPr>
              <w:bidi w:val="0"/>
              <w:spacing w:line="240"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3034</w:t>
            </w:r>
            <w:r>
              <w:rPr>
                <w:rFonts w:hint="eastAsia" w:ascii="宋体" w:hAnsi="宋体" w:cs="宋体"/>
                <w:sz w:val="24"/>
                <w:szCs w:val="24"/>
                <w:lang w:val="en-US" w:eastAsia="zh-CN"/>
              </w:rPr>
              <w:t>875.37</w:t>
            </w:r>
          </w:p>
        </w:tc>
      </w:tr>
    </w:tbl>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采购需求：（包括但不限于标的的名称、数量、简要技术需求或服务要求等）</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5.1工程概况：</w:t>
      </w:r>
      <w:r>
        <w:rPr>
          <w:rFonts w:hint="eastAsia" w:ascii="宋体" w:hAnsi="宋体" w:eastAsia="宋体" w:cs="宋体"/>
          <w:i w:val="0"/>
          <w:iCs w:val="0"/>
          <w:sz w:val="24"/>
          <w:szCs w:val="24"/>
          <w:u w:val="none"/>
          <w:lang w:eastAsia="zh-CN"/>
        </w:rPr>
        <w:t>平顶山市卫东区农业农村和水利局2023年卫东区光华路街道0.3万亩高标准农田建设项目</w:t>
      </w:r>
      <w:r>
        <w:rPr>
          <w:rFonts w:hint="eastAsia" w:ascii="宋体" w:hAnsi="宋体" w:eastAsia="宋体" w:cs="宋体"/>
          <w:sz w:val="24"/>
          <w:szCs w:val="24"/>
        </w:rPr>
        <w:t>，建设内容包括：第一标段：土壤改良（包括商品有机肥和土壤调理剂）</w:t>
      </w:r>
      <w:r>
        <w:rPr>
          <w:rFonts w:hint="eastAsia" w:ascii="宋体" w:hAnsi="宋体" w:eastAsia="宋体" w:cs="宋体"/>
          <w:sz w:val="24"/>
          <w:szCs w:val="24"/>
          <w:lang w:eastAsia="zh-CN"/>
        </w:rPr>
        <w:t>；</w:t>
      </w:r>
      <w:r>
        <w:rPr>
          <w:rFonts w:hint="eastAsia" w:ascii="宋体" w:hAnsi="宋体" w:eastAsia="宋体" w:cs="宋体"/>
          <w:sz w:val="24"/>
          <w:szCs w:val="24"/>
        </w:rPr>
        <w:t>第二标段：灌溉与排水（新打机井、管道铺设）、电力工程（电缆铺设、搭接、通电试验等）、田间道路工程、农田防护（苗木栽植、养护等）等施工图纸及工程量清单范围内工程；</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5.2采购范围：工程量清单及施工图纸中的全部内容。</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5.3资金来源：财政资金,已落实。</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5.4标段划分：本项目共划分为两个标段，</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一标段为：</w:t>
      </w:r>
      <w:r>
        <w:rPr>
          <w:rFonts w:hint="eastAsia" w:ascii="宋体" w:hAnsi="宋体" w:eastAsia="宋体" w:cs="宋体"/>
          <w:sz w:val="24"/>
          <w:szCs w:val="24"/>
          <w:vertAlign w:val="baseline"/>
          <w:lang w:val="en-US" w:eastAsia="zh-CN"/>
        </w:rPr>
        <w:t>土壤改良（包括商品有机肥和土壤调理剂）</w:t>
      </w:r>
      <w:r>
        <w:rPr>
          <w:rFonts w:hint="eastAsia" w:ascii="宋体" w:hAnsi="宋体" w:eastAsia="宋体" w:cs="宋体"/>
          <w:sz w:val="24"/>
          <w:szCs w:val="24"/>
          <w:lang w:val="en-US" w:eastAsia="zh-CN"/>
        </w:rPr>
        <w:t>。</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二标段为：</w:t>
      </w:r>
      <w:r>
        <w:rPr>
          <w:rFonts w:hint="eastAsia" w:ascii="宋体" w:hAnsi="宋体" w:eastAsia="宋体" w:cs="宋体"/>
          <w:sz w:val="24"/>
          <w:szCs w:val="24"/>
        </w:rPr>
        <w:t>灌溉与排水（新打机井、管道铺设）、电力工程（电缆铺设、搭接、通电试验等）、田间道路工程、农田防护（苗木栽植、养护等）等</w:t>
      </w:r>
      <w:r>
        <w:rPr>
          <w:rFonts w:hint="eastAsia" w:ascii="宋体" w:hAnsi="宋体" w:cs="宋体"/>
          <w:sz w:val="24"/>
          <w:szCs w:val="24"/>
          <w:lang w:eastAsia="zh-CN"/>
        </w:rPr>
        <w:t>。</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5.5质量要求：合格。</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5.6工期</w:t>
      </w:r>
      <w:r>
        <w:rPr>
          <w:rFonts w:hint="eastAsia" w:ascii="宋体" w:hAnsi="宋体" w:cs="宋体"/>
          <w:sz w:val="24"/>
          <w:szCs w:val="24"/>
          <w:lang w:val="en-US" w:eastAsia="zh-CN"/>
        </w:rPr>
        <w:t>（供货期）</w:t>
      </w:r>
      <w:r>
        <w:rPr>
          <w:rFonts w:hint="eastAsia" w:ascii="宋体" w:hAnsi="宋体" w:eastAsia="宋体" w:cs="宋体"/>
          <w:sz w:val="24"/>
          <w:szCs w:val="24"/>
          <w:lang w:val="en-US" w:eastAsia="zh-CN"/>
        </w:rPr>
        <w:t>：180日历天</w:t>
      </w:r>
      <w:r>
        <w:rPr>
          <w:rFonts w:hint="eastAsia" w:ascii="宋体" w:hAnsi="宋体" w:cs="Courier New"/>
          <w:sz w:val="24"/>
          <w:szCs w:val="24"/>
          <w:highlight w:val="none"/>
        </w:rPr>
        <w:t>/标段</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合同履行期限：</w:t>
      </w:r>
      <w:r>
        <w:rPr>
          <w:rFonts w:hint="eastAsia" w:ascii="宋体" w:hAnsi="宋体" w:eastAsia="宋体" w:cs="宋体"/>
          <w:sz w:val="24"/>
          <w:szCs w:val="24"/>
          <w:lang w:val="en-US" w:eastAsia="zh-CN"/>
        </w:rPr>
        <w:t>/</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本项目是否接受联合体</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否</w:t>
      </w:r>
      <w:r>
        <w:rPr>
          <w:rFonts w:hint="eastAsia" w:ascii="宋体" w:hAnsi="宋体" w:eastAsia="宋体" w:cs="宋体"/>
          <w:sz w:val="24"/>
          <w:szCs w:val="24"/>
        </w:rPr>
        <w:t>。</w:t>
      </w:r>
      <w:bookmarkStart w:id="12" w:name="_Toc28359090"/>
      <w:bookmarkStart w:id="13" w:name="_Toc28359013"/>
      <w:bookmarkStart w:id="14" w:name="_Toc35393630"/>
      <w:bookmarkStart w:id="15" w:name="_Toc35393799"/>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8、是否接受进口产品：否</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9、是否专门面向中小企业：是</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二、申请人的资格要求：</w:t>
      </w:r>
      <w:bookmarkEnd w:id="12"/>
      <w:bookmarkEnd w:id="13"/>
      <w:bookmarkEnd w:id="14"/>
      <w:bookmarkEnd w:id="15"/>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bidi w:val="0"/>
        <w:spacing w:line="360" w:lineRule="auto"/>
        <w:rPr>
          <w:rFonts w:hint="eastAsia" w:ascii="宋体" w:hAnsi="宋体" w:eastAsia="宋体" w:cs="宋体"/>
          <w:sz w:val="24"/>
          <w:szCs w:val="24"/>
        </w:rPr>
      </w:pPr>
      <w:bookmarkStart w:id="16" w:name="_Toc28359091"/>
      <w:bookmarkStart w:id="17" w:name="_Toc28359014"/>
      <w:r>
        <w:rPr>
          <w:rFonts w:hint="eastAsia" w:ascii="宋体" w:hAnsi="宋体" w:eastAsia="宋体" w:cs="宋体"/>
          <w:sz w:val="24"/>
          <w:szCs w:val="24"/>
        </w:rPr>
        <w:t>2.落实政府采购政策需满足的资格要求：</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根据《政府采购促进中小企业发展管理办法》财库〔2020〕46号规定，本项目专门面向中小企业采购，投标人应为中小微企业、监狱企业、残疾人福利性单位。中小企业划型标准请依据工信部联企业〔2011〕300号文件之规定。</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3.本项目的特定资格要求：</w:t>
      </w:r>
    </w:p>
    <w:p>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.1、具有独立法人资格，持有有效的营业执照、税务登记证、组织机构代码证或三证合一营业执照（也可提供电子营业执照）；</w:t>
      </w:r>
    </w:p>
    <w:p>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3.2</w:t>
      </w:r>
      <w:r>
        <w:rPr>
          <w:rFonts w:hint="eastAsia" w:ascii="宋体" w:hAnsi="宋体" w:eastAsia="宋体" w:cs="宋体"/>
          <w:sz w:val="24"/>
          <w:szCs w:val="24"/>
          <w:lang w:eastAsia="zh-CN"/>
        </w:rPr>
        <w:t>、</w:t>
      </w:r>
      <w:r>
        <w:rPr>
          <w:rFonts w:hint="eastAsia" w:ascii="宋体" w:hAnsi="宋体" w:eastAsia="宋体" w:cs="宋体"/>
          <w:b/>
          <w:bCs/>
          <w:sz w:val="24"/>
          <w:szCs w:val="24"/>
        </w:rPr>
        <w:t>第</w:t>
      </w:r>
      <w:r>
        <w:rPr>
          <w:rFonts w:hint="eastAsia" w:ascii="宋体" w:hAnsi="宋体" w:cs="宋体"/>
          <w:b/>
          <w:bCs/>
          <w:sz w:val="24"/>
          <w:szCs w:val="24"/>
          <w:lang w:val="en-US" w:eastAsia="zh-CN"/>
        </w:rPr>
        <w:t>一</w:t>
      </w:r>
      <w:r>
        <w:rPr>
          <w:rFonts w:hint="eastAsia" w:ascii="宋体" w:hAnsi="宋体" w:eastAsia="宋体" w:cs="宋体"/>
          <w:b/>
          <w:bCs/>
          <w:sz w:val="24"/>
          <w:szCs w:val="24"/>
        </w:rPr>
        <w:t>标段：</w:t>
      </w:r>
      <w:r>
        <w:rPr>
          <w:rFonts w:hint="eastAsia" w:ascii="宋体" w:hAnsi="宋体" w:eastAsia="宋体" w:cs="宋体"/>
          <w:sz w:val="24"/>
          <w:szCs w:val="24"/>
        </w:rPr>
        <w:t>具有主管部门颁发的有效期内的肥料登记证和具有检测资质的检测机构出具的产品合格检测报告（</w:t>
      </w:r>
      <w:r>
        <w:rPr>
          <w:rFonts w:hint="eastAsia" w:ascii="宋体" w:hAnsi="宋体" w:eastAsia="宋体" w:cs="宋体"/>
          <w:sz w:val="24"/>
          <w:szCs w:val="24"/>
          <w:lang w:val="en-US" w:eastAsia="zh-CN"/>
        </w:rPr>
        <w:t>对于取消肥料登记证的地区，需提供相关行政主管部门发布的有效证明材料。检测报告</w:t>
      </w:r>
      <w:r>
        <w:rPr>
          <w:rFonts w:hint="eastAsia" w:ascii="宋体" w:hAnsi="宋体" w:eastAsia="宋体" w:cs="宋体"/>
          <w:sz w:val="24"/>
          <w:szCs w:val="24"/>
        </w:rPr>
        <w:t>以第三方出具的检测报告为准</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rPr>
        <w:t>；</w:t>
      </w:r>
    </w:p>
    <w:p>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b/>
          <w:bCs/>
          <w:sz w:val="24"/>
          <w:szCs w:val="24"/>
        </w:rPr>
        <w:t>第</w:t>
      </w:r>
      <w:r>
        <w:rPr>
          <w:rFonts w:hint="eastAsia" w:ascii="宋体" w:hAnsi="宋体" w:cs="宋体"/>
          <w:b/>
          <w:bCs/>
          <w:sz w:val="24"/>
          <w:szCs w:val="24"/>
          <w:lang w:val="en-US" w:eastAsia="zh-CN"/>
        </w:rPr>
        <w:t>二</w:t>
      </w:r>
      <w:r>
        <w:rPr>
          <w:rFonts w:hint="eastAsia" w:ascii="宋体" w:hAnsi="宋体" w:eastAsia="宋体" w:cs="宋体"/>
          <w:b/>
          <w:bCs/>
          <w:sz w:val="24"/>
          <w:szCs w:val="24"/>
        </w:rPr>
        <w:t>标段：</w:t>
      </w:r>
      <w:r>
        <w:rPr>
          <w:rFonts w:hint="eastAsia" w:ascii="宋体" w:hAnsi="宋体" w:eastAsia="宋体" w:cs="宋体"/>
          <w:sz w:val="24"/>
          <w:szCs w:val="24"/>
        </w:rPr>
        <w:t>具有水利水电工程或市政公用工程施工总承包叁级及以上资质，具有有效的安全生产许可证；</w:t>
      </w:r>
      <w:r>
        <w:rPr>
          <w:rFonts w:hint="eastAsia" w:ascii="宋体" w:hAnsi="宋体" w:eastAsia="宋体" w:cs="宋体"/>
          <w:sz w:val="24"/>
          <w:szCs w:val="24"/>
          <w:lang w:val="en-US" w:eastAsia="zh-CN"/>
        </w:rPr>
        <w:t>项目经理</w:t>
      </w:r>
      <w:r>
        <w:rPr>
          <w:rFonts w:hint="eastAsia" w:ascii="宋体" w:hAnsi="宋体" w:eastAsia="宋体" w:cs="宋体"/>
          <w:sz w:val="24"/>
          <w:szCs w:val="24"/>
        </w:rPr>
        <w:t>具备</w:t>
      </w:r>
      <w:r>
        <w:rPr>
          <w:rFonts w:hint="eastAsia" w:ascii="宋体" w:hAnsi="宋体" w:eastAsia="宋体" w:cs="宋体"/>
          <w:sz w:val="24"/>
          <w:szCs w:val="24"/>
          <w:lang w:val="en-US" w:eastAsia="zh-CN"/>
        </w:rPr>
        <w:t>相关</w:t>
      </w:r>
      <w:r>
        <w:rPr>
          <w:rFonts w:hint="eastAsia" w:ascii="宋体" w:hAnsi="宋体" w:eastAsia="宋体" w:cs="宋体"/>
          <w:sz w:val="24"/>
          <w:szCs w:val="24"/>
        </w:rPr>
        <w:t>专业二级及以上注册建造师执业资格，具有有效的安全生产考核合格证，且未担任其他在建项目的项目经理（提供承诺书），同时须提供社保部门出具的202</w:t>
      </w:r>
      <w:r>
        <w:rPr>
          <w:rFonts w:hint="eastAsia" w:ascii="宋体" w:hAnsi="宋体" w:eastAsia="宋体" w:cs="宋体"/>
          <w:sz w:val="24"/>
          <w:szCs w:val="24"/>
          <w:lang w:val="en-US" w:eastAsia="zh-CN"/>
        </w:rPr>
        <w:t>3</w:t>
      </w:r>
      <w:r>
        <w:rPr>
          <w:rFonts w:hint="eastAsia" w:ascii="宋体" w:hAnsi="宋体" w:eastAsia="宋体" w:cs="宋体"/>
          <w:sz w:val="24"/>
          <w:szCs w:val="24"/>
        </w:rPr>
        <w:t>年以来任意</w:t>
      </w:r>
      <w:r>
        <w:rPr>
          <w:rFonts w:hint="eastAsia" w:ascii="宋体" w:hAnsi="宋体" w:eastAsia="宋体" w:cs="宋体"/>
          <w:sz w:val="24"/>
          <w:szCs w:val="24"/>
          <w:lang w:val="en-US" w:eastAsia="zh-CN"/>
        </w:rPr>
        <w:t>三</w:t>
      </w:r>
      <w:r>
        <w:rPr>
          <w:rFonts w:hint="eastAsia" w:ascii="宋体" w:hAnsi="宋体" w:eastAsia="宋体" w:cs="宋体"/>
          <w:sz w:val="24"/>
          <w:szCs w:val="24"/>
        </w:rPr>
        <w:t>个月的养老保险缴纳证明；</w:t>
      </w:r>
    </w:p>
    <w:p>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3.3、投标人具有良好的商业信誉和健全的财务会计制度（提供202</w:t>
      </w:r>
      <w:r>
        <w:rPr>
          <w:rFonts w:hint="eastAsia" w:ascii="宋体" w:hAnsi="宋体" w:eastAsia="宋体" w:cs="宋体"/>
          <w:sz w:val="24"/>
          <w:szCs w:val="24"/>
          <w:lang w:val="en-US" w:eastAsia="zh-CN"/>
        </w:rPr>
        <w:t>2</w:t>
      </w:r>
      <w:r>
        <w:rPr>
          <w:rFonts w:hint="eastAsia" w:ascii="宋体" w:hAnsi="宋体" w:eastAsia="宋体" w:cs="宋体"/>
          <w:sz w:val="24"/>
          <w:szCs w:val="24"/>
        </w:rPr>
        <w:t>年度经审验的财务状况报告，成立时间较短不能提供的，应提交开户银行出具的资信证明。）；</w:t>
      </w:r>
    </w:p>
    <w:p>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3.4、投标人具有依法缴纳税收和社会保障资金的良好记录（提供202</w:t>
      </w:r>
      <w:r>
        <w:rPr>
          <w:rFonts w:hint="eastAsia" w:ascii="宋体" w:hAnsi="宋体" w:eastAsia="宋体" w:cs="宋体"/>
          <w:sz w:val="24"/>
          <w:szCs w:val="24"/>
          <w:lang w:val="en-US" w:eastAsia="zh-CN"/>
        </w:rPr>
        <w:t>3</w:t>
      </w:r>
      <w:r>
        <w:rPr>
          <w:rFonts w:hint="eastAsia" w:ascii="宋体" w:hAnsi="宋体" w:eastAsia="宋体" w:cs="宋体"/>
          <w:sz w:val="24"/>
          <w:szCs w:val="24"/>
        </w:rPr>
        <w:t>年以来任意一个月依法缴纳税收和社会保障资金的相关</w:t>
      </w:r>
      <w:r>
        <w:rPr>
          <w:rFonts w:hint="eastAsia" w:ascii="宋体" w:hAnsi="宋体" w:eastAsia="宋体" w:cs="宋体"/>
          <w:sz w:val="24"/>
          <w:szCs w:val="24"/>
          <w:lang w:val="en-US" w:eastAsia="zh-CN"/>
        </w:rPr>
        <w:t>证明</w:t>
      </w:r>
      <w:r>
        <w:rPr>
          <w:rFonts w:hint="eastAsia" w:ascii="宋体" w:hAnsi="宋体" w:eastAsia="宋体" w:cs="宋体"/>
          <w:sz w:val="24"/>
          <w:szCs w:val="24"/>
        </w:rPr>
        <w:t>材料）；</w:t>
      </w:r>
    </w:p>
    <w:p>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5</w:t>
      </w:r>
      <w:r>
        <w:rPr>
          <w:rFonts w:hint="eastAsia" w:ascii="宋体" w:hAnsi="宋体" w:eastAsia="宋体" w:cs="宋体"/>
          <w:sz w:val="24"/>
          <w:szCs w:val="24"/>
        </w:rPr>
        <w:t>、参加政府采购活动近三年内，在经营活动中没有重大的违法记录和质量安全事故（供应商自行承诺，格式自拟）；</w:t>
      </w:r>
    </w:p>
    <w:p>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、投标人须提供</w:t>
      </w:r>
      <w:r>
        <w:rPr>
          <w:rFonts w:hint="eastAsia" w:ascii="宋体" w:hAnsi="宋体" w:eastAsia="宋体" w:cs="宋体"/>
          <w:sz w:val="24"/>
          <w:szCs w:val="24"/>
        </w:rPr>
        <w:t>“中国执行信息公开网”的“失信被执行人”、“信用中国”网站的“</w:t>
      </w:r>
      <w:r>
        <w:rPr>
          <w:rFonts w:hint="eastAsia" w:ascii="宋体" w:hAnsi="宋体" w:eastAsia="宋体" w:cs="宋体"/>
          <w:sz w:val="24"/>
          <w:szCs w:val="24"/>
          <w:lang w:eastAsia="zh-CN"/>
        </w:rPr>
        <w:t>重大税收违法失信主体</w:t>
      </w:r>
      <w:r>
        <w:rPr>
          <w:rFonts w:hint="eastAsia" w:ascii="宋体" w:hAnsi="宋体" w:eastAsia="宋体" w:cs="宋体"/>
          <w:sz w:val="24"/>
          <w:szCs w:val="24"/>
        </w:rPr>
        <w:t>”、“中国政府采购网”的“政府采购严重违法失信行为记录名单”</w:t>
      </w:r>
      <w:r>
        <w:rPr>
          <w:rFonts w:hint="eastAsia" w:ascii="宋体" w:hAnsi="宋体" w:eastAsia="宋体" w:cs="宋体"/>
          <w:sz w:val="24"/>
          <w:szCs w:val="24"/>
          <w:lang w:eastAsia="zh-CN"/>
        </w:rPr>
        <w:t>的</w:t>
      </w:r>
      <w:r>
        <w:rPr>
          <w:rFonts w:hint="eastAsia" w:ascii="宋体" w:hAnsi="宋体" w:eastAsia="宋体" w:cs="宋体"/>
          <w:sz w:val="24"/>
          <w:szCs w:val="24"/>
          <w:lang w:val="en"/>
        </w:rPr>
        <w:t>查询结果页面截图，不得有不良记录（执行财库【2016】125号文）（查询时间应在</w:t>
      </w:r>
      <w:r>
        <w:rPr>
          <w:rFonts w:hint="eastAsia" w:ascii="宋体" w:hAnsi="宋体" w:eastAsia="宋体" w:cs="宋体"/>
          <w:sz w:val="24"/>
          <w:szCs w:val="24"/>
          <w:lang w:val="en-US" w:eastAsia="zh-CN"/>
        </w:rPr>
        <w:t>磋商</w:t>
      </w:r>
      <w:r>
        <w:rPr>
          <w:rFonts w:hint="eastAsia" w:ascii="宋体" w:hAnsi="宋体" w:eastAsia="宋体" w:cs="宋体"/>
          <w:sz w:val="24"/>
          <w:szCs w:val="24"/>
          <w:lang w:val="en"/>
        </w:rPr>
        <w:t>公告发布之后）</w:t>
      </w:r>
      <w:r>
        <w:rPr>
          <w:rFonts w:hint="eastAsia" w:ascii="宋体" w:hAnsi="宋体" w:eastAsia="宋体" w:cs="宋体"/>
          <w:sz w:val="24"/>
          <w:szCs w:val="24"/>
        </w:rPr>
        <w:t>。单位负责人为同一人或者存在控股、管理关系的不同单位，不得同时参加本项目的投标【提供加盖投标人公章的“国家企业信用信息公示系统”中公示的公司信息、股东（或投资人）信息】。</w:t>
      </w:r>
    </w:p>
    <w:p>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w:t>
      </w:r>
      <w:r>
        <w:rPr>
          <w:rFonts w:hint="eastAsia" w:ascii="宋体" w:hAnsi="宋体" w:eastAsia="宋体" w:cs="宋体"/>
          <w:sz w:val="24"/>
          <w:szCs w:val="24"/>
        </w:rPr>
        <w:t>投标人应保证其投标资料的真实性、有效性；一经发现有虚假资料，招标人有权取消其投标资格、或取消其中标资格、或终止其施工合同（须提供加盖公章的承诺书）。</w:t>
      </w:r>
    </w:p>
    <w:p>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w:t>
      </w:r>
      <w:r>
        <w:rPr>
          <w:rFonts w:hint="eastAsia" w:ascii="宋体" w:hAnsi="宋体" w:eastAsia="宋体" w:cs="宋体"/>
          <w:sz w:val="24"/>
          <w:szCs w:val="24"/>
          <w:lang w:val="en"/>
        </w:rPr>
        <w:t>本项目采用</w:t>
      </w:r>
      <w:r>
        <w:rPr>
          <w:rFonts w:hint="eastAsia" w:ascii="宋体" w:hAnsi="宋体" w:eastAsia="宋体" w:cs="宋体"/>
          <w:sz w:val="24"/>
          <w:szCs w:val="24"/>
          <w:lang w:val="en-US" w:eastAsia="zh-CN"/>
        </w:rPr>
        <w:t>资格后审</w:t>
      </w:r>
      <w:r>
        <w:rPr>
          <w:rFonts w:hint="eastAsia" w:ascii="宋体" w:hAnsi="宋体" w:eastAsia="宋体" w:cs="宋体"/>
          <w:sz w:val="24"/>
          <w:szCs w:val="24"/>
          <w:lang w:val="en"/>
        </w:rPr>
        <w:t>，不接受联合体报名</w:t>
      </w:r>
      <w:r>
        <w:rPr>
          <w:rFonts w:hint="eastAsia" w:ascii="宋体" w:hAnsi="宋体" w:eastAsia="宋体" w:cs="宋体"/>
          <w:sz w:val="24"/>
          <w:szCs w:val="24"/>
        </w:rPr>
        <w:t>。</w:t>
      </w:r>
    </w:p>
    <w:p>
      <w:pPr>
        <w:bidi w:val="0"/>
        <w:spacing w:line="360" w:lineRule="auto"/>
        <w:rPr>
          <w:rFonts w:hint="eastAsia" w:ascii="宋体" w:hAnsi="宋体" w:eastAsia="宋体" w:cs="宋体"/>
          <w:sz w:val="24"/>
          <w:szCs w:val="24"/>
        </w:rPr>
      </w:pPr>
      <w:bookmarkStart w:id="18" w:name="_Toc35393631"/>
      <w:bookmarkStart w:id="19" w:name="_Toc35393800"/>
      <w:r>
        <w:rPr>
          <w:rFonts w:hint="eastAsia" w:ascii="宋体" w:hAnsi="宋体" w:eastAsia="宋体" w:cs="宋体"/>
          <w:sz w:val="24"/>
          <w:szCs w:val="24"/>
        </w:rPr>
        <w:t>三、获取采购文件</w:t>
      </w:r>
      <w:bookmarkEnd w:id="16"/>
      <w:bookmarkEnd w:id="17"/>
      <w:bookmarkEnd w:id="18"/>
      <w:bookmarkEnd w:id="19"/>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rPr>
        <w:t>时</w:t>
      </w:r>
      <w:r>
        <w:rPr>
          <w:rFonts w:hint="eastAsia" w:ascii="宋体" w:hAnsi="宋体" w:eastAsia="宋体" w:cs="宋体"/>
          <w:sz w:val="24"/>
          <w:szCs w:val="24"/>
          <w:highlight w:val="none"/>
        </w:rPr>
        <w:t>间：</w:t>
      </w:r>
      <w:r>
        <w:rPr>
          <w:rFonts w:hint="eastAsia" w:ascii="宋体" w:hAnsi="宋体" w:eastAsia="宋体" w:cs="宋体"/>
          <w:sz w:val="24"/>
          <w:szCs w:val="24"/>
          <w:highlight w:val="none"/>
          <w:lang w:val="en-US" w:eastAsia="zh-CN"/>
        </w:rPr>
        <w:t>2023</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日至</w:t>
      </w:r>
      <w:r>
        <w:rPr>
          <w:rFonts w:hint="eastAsia" w:ascii="宋体" w:hAnsi="宋体" w:eastAsia="宋体" w:cs="宋体"/>
          <w:sz w:val="24"/>
          <w:szCs w:val="24"/>
          <w:highlight w:val="none"/>
          <w:lang w:val="en-US" w:eastAsia="zh-CN"/>
        </w:rPr>
        <w:t>2023</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rPr>
        <w:t>日（磋商文件的发售期限自开始之日起不得少于5个工作日），</w:t>
      </w:r>
      <w:r>
        <w:rPr>
          <w:rFonts w:hint="eastAsia" w:ascii="宋体" w:hAnsi="宋体" w:eastAsia="宋体" w:cs="宋体"/>
          <w:i w:val="0"/>
          <w:iCs w:val="0"/>
          <w:caps w:val="0"/>
          <w:color w:val="000000"/>
          <w:spacing w:val="0"/>
          <w:sz w:val="24"/>
          <w:szCs w:val="24"/>
          <w:highlight w:val="none"/>
          <w:shd w:val="clear" w:fill="FFFFFF"/>
        </w:rPr>
        <w:t>每天上午00:00至12:00，下午12:00至23:59（北京时间，法定节假日除外。）</w:t>
      </w:r>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r>
        <w:rPr>
          <w:rFonts w:hint="eastAsia" w:ascii="宋体" w:hAnsi="宋体" w:eastAsia="宋体" w:cs="宋体"/>
          <w:i w:val="0"/>
          <w:iCs w:val="0"/>
          <w:caps w:val="0"/>
          <w:color w:val="000000"/>
          <w:spacing w:val="0"/>
          <w:sz w:val="24"/>
          <w:szCs w:val="24"/>
          <w:highlight w:val="none"/>
          <w:shd w:val="clear" w:fill="FFFFFF"/>
        </w:rPr>
        <w:t>平顶山市公共资源交易中心电子交易系统</w:t>
      </w:r>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方式：在招标文件获取截止时间前，潜在投标人需凭CA数字证书通过平顶山市公共资源交易中心网（网址：http://www.pdsggzy.com/）“供应商登录”入口进入交易系统进行下载。具体操作请查看以下链接：</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链接地址：http://www.pdsggzy.com/fwzn/11020.jhtml</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办理CA证书：http://www.pdsggzy.com/tzgg/10814.jhtml</w:t>
      </w:r>
    </w:p>
    <w:p>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售价：</w:t>
      </w:r>
      <w:r>
        <w:rPr>
          <w:rFonts w:hint="eastAsia" w:ascii="宋体" w:hAnsi="宋体" w:eastAsia="宋体" w:cs="宋体"/>
          <w:sz w:val="24"/>
          <w:szCs w:val="24"/>
          <w:highlight w:val="none"/>
          <w:lang w:val="en-US" w:eastAsia="zh-CN"/>
        </w:rPr>
        <w:t>0元</w:t>
      </w:r>
    </w:p>
    <w:p>
      <w:pPr>
        <w:bidi w:val="0"/>
        <w:spacing w:line="360" w:lineRule="auto"/>
        <w:rPr>
          <w:rFonts w:hint="eastAsia" w:ascii="宋体" w:hAnsi="宋体" w:eastAsia="宋体" w:cs="宋体"/>
          <w:sz w:val="24"/>
          <w:szCs w:val="24"/>
          <w:highlight w:val="none"/>
        </w:rPr>
      </w:pPr>
      <w:bookmarkStart w:id="20" w:name="_Toc28359092"/>
      <w:bookmarkStart w:id="21" w:name="_Toc28359015"/>
      <w:bookmarkStart w:id="22" w:name="_Toc35393801"/>
      <w:bookmarkStart w:id="23" w:name="_Toc35393632"/>
      <w:r>
        <w:rPr>
          <w:rFonts w:hint="eastAsia" w:ascii="宋体" w:hAnsi="宋体" w:eastAsia="宋体" w:cs="宋体"/>
          <w:sz w:val="24"/>
          <w:szCs w:val="24"/>
          <w:highlight w:val="none"/>
        </w:rPr>
        <w:t>四、响应文件提交</w:t>
      </w:r>
      <w:bookmarkEnd w:id="20"/>
      <w:bookmarkEnd w:id="21"/>
      <w:bookmarkEnd w:id="22"/>
      <w:bookmarkEnd w:id="23"/>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截止时间：</w:t>
      </w:r>
      <w:r>
        <w:rPr>
          <w:rFonts w:hint="eastAsia" w:ascii="宋体" w:hAnsi="宋体" w:eastAsia="宋体" w:cs="宋体"/>
          <w:sz w:val="24"/>
          <w:szCs w:val="24"/>
          <w:highlight w:val="none"/>
          <w:lang w:val="en-US" w:eastAsia="zh-CN"/>
        </w:rPr>
        <w:t>2023</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rPr>
        <w:t>点</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rPr>
        <w:t>分（北京时间）</w:t>
      </w:r>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r>
        <w:rPr>
          <w:rFonts w:hint="eastAsia" w:ascii="宋体" w:hAnsi="宋体" w:eastAsia="宋体" w:cs="宋体"/>
          <w:i w:val="0"/>
          <w:iCs w:val="0"/>
          <w:caps w:val="0"/>
          <w:color w:val="000000"/>
          <w:spacing w:val="0"/>
          <w:sz w:val="24"/>
          <w:szCs w:val="24"/>
          <w:highlight w:val="none"/>
          <w:shd w:val="clear" w:fill="FFFFFF"/>
        </w:rPr>
        <w:t>平顶山市公共资源交易中心电子交易系统</w:t>
      </w:r>
    </w:p>
    <w:p>
      <w:pPr>
        <w:bidi w:val="0"/>
        <w:spacing w:line="360" w:lineRule="auto"/>
        <w:rPr>
          <w:rFonts w:hint="eastAsia" w:ascii="宋体" w:hAnsi="宋体" w:eastAsia="宋体" w:cs="宋体"/>
          <w:sz w:val="24"/>
          <w:szCs w:val="24"/>
          <w:highlight w:val="none"/>
        </w:rPr>
      </w:pPr>
      <w:bookmarkStart w:id="24" w:name="_Toc35393633"/>
      <w:bookmarkStart w:id="25" w:name="_Toc28359016"/>
      <w:bookmarkStart w:id="26" w:name="_Toc35393802"/>
      <w:bookmarkStart w:id="27" w:name="_Toc28359093"/>
      <w:r>
        <w:rPr>
          <w:rFonts w:hint="eastAsia" w:ascii="宋体" w:hAnsi="宋体" w:eastAsia="宋体" w:cs="宋体"/>
          <w:sz w:val="24"/>
          <w:szCs w:val="24"/>
          <w:highlight w:val="none"/>
        </w:rPr>
        <w:t>五、开启（竞争性磋商方式必须填写）</w:t>
      </w:r>
      <w:bookmarkEnd w:id="24"/>
      <w:bookmarkEnd w:id="25"/>
      <w:bookmarkEnd w:id="26"/>
      <w:bookmarkEnd w:id="27"/>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r>
        <w:rPr>
          <w:rFonts w:hint="eastAsia" w:ascii="宋体" w:hAnsi="宋体" w:eastAsia="宋体" w:cs="宋体"/>
          <w:sz w:val="24"/>
          <w:szCs w:val="24"/>
          <w:highlight w:val="none"/>
          <w:lang w:val="en-US" w:eastAsia="zh-CN"/>
        </w:rPr>
        <w:t>2023</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rPr>
        <w:t>点</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rPr>
        <w:t>分（北京时间）</w:t>
      </w:r>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r>
        <w:rPr>
          <w:rFonts w:hint="eastAsia" w:ascii="宋体" w:hAnsi="宋体" w:eastAsia="宋体" w:cs="宋体"/>
          <w:i w:val="0"/>
          <w:iCs w:val="0"/>
          <w:caps w:val="0"/>
          <w:color w:val="000000"/>
          <w:spacing w:val="0"/>
          <w:sz w:val="24"/>
          <w:szCs w:val="24"/>
          <w:highlight w:val="none"/>
          <w:shd w:val="clear" w:fill="FFFFFF"/>
        </w:rPr>
        <w:t>平顶山市公共资源交易中心电子交易系统</w:t>
      </w:r>
    </w:p>
    <w:p>
      <w:pPr>
        <w:bidi w:val="0"/>
        <w:spacing w:line="360" w:lineRule="auto"/>
        <w:rPr>
          <w:rFonts w:hint="eastAsia" w:ascii="宋体" w:hAnsi="宋体" w:eastAsia="宋体" w:cs="宋体"/>
          <w:sz w:val="24"/>
          <w:szCs w:val="24"/>
        </w:rPr>
      </w:pPr>
      <w:bookmarkStart w:id="28" w:name="_Toc28359017"/>
      <w:bookmarkStart w:id="29" w:name="_Toc28359094"/>
      <w:bookmarkStart w:id="30" w:name="_Toc35393803"/>
      <w:bookmarkStart w:id="31" w:name="_Toc35393634"/>
      <w:r>
        <w:rPr>
          <w:rFonts w:hint="eastAsia" w:ascii="宋体" w:hAnsi="宋体" w:eastAsia="宋体" w:cs="宋体"/>
          <w:sz w:val="24"/>
          <w:szCs w:val="24"/>
        </w:rPr>
        <w:t>六、</w:t>
      </w:r>
      <w:bookmarkEnd w:id="28"/>
      <w:bookmarkEnd w:id="29"/>
      <w:bookmarkEnd w:id="30"/>
      <w:bookmarkEnd w:id="31"/>
      <w:r>
        <w:rPr>
          <w:rFonts w:hint="eastAsia" w:ascii="宋体" w:hAnsi="宋体" w:eastAsia="宋体" w:cs="宋体"/>
          <w:sz w:val="24"/>
          <w:szCs w:val="24"/>
        </w:rPr>
        <w:t>发布公告的媒介及招标公告期限</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本次招标公告在《河南省政府采购网》《平顶山市政府采购网》《全国公共资源交易平台（河南省·平顶山市）》网站上发布</w:t>
      </w:r>
      <w:r>
        <w:rPr>
          <w:rFonts w:hint="eastAsia" w:ascii="宋体" w:hAnsi="宋体" w:eastAsia="宋体" w:cs="宋体"/>
          <w:sz w:val="24"/>
          <w:szCs w:val="24"/>
          <w:lang w:eastAsia="zh-CN"/>
        </w:rPr>
        <w:t>，</w:t>
      </w:r>
      <w:r>
        <w:rPr>
          <w:rFonts w:hint="eastAsia" w:ascii="宋体" w:hAnsi="宋体" w:eastAsia="宋体" w:cs="宋体"/>
          <w:sz w:val="24"/>
          <w:szCs w:val="24"/>
        </w:rPr>
        <w:t>自本公告发布之日起</w:t>
      </w:r>
      <w:r>
        <w:rPr>
          <w:rFonts w:hint="eastAsia" w:ascii="宋体" w:hAnsi="宋体" w:eastAsia="宋体" w:cs="宋体"/>
          <w:sz w:val="24"/>
          <w:szCs w:val="24"/>
          <w:lang w:val="en-US" w:eastAsia="zh-CN"/>
        </w:rPr>
        <w:t>三</w:t>
      </w:r>
      <w:r>
        <w:rPr>
          <w:rFonts w:hint="eastAsia" w:ascii="宋体" w:hAnsi="宋体" w:eastAsia="宋体" w:cs="宋体"/>
          <w:sz w:val="24"/>
          <w:szCs w:val="24"/>
        </w:rPr>
        <w:t>个工作日。</w:t>
      </w:r>
    </w:p>
    <w:p>
      <w:pPr>
        <w:bidi w:val="0"/>
        <w:spacing w:line="360" w:lineRule="auto"/>
        <w:rPr>
          <w:rFonts w:hint="eastAsia" w:ascii="宋体" w:hAnsi="宋体" w:eastAsia="宋体" w:cs="宋体"/>
          <w:sz w:val="24"/>
          <w:szCs w:val="24"/>
        </w:rPr>
      </w:pPr>
      <w:bookmarkStart w:id="32" w:name="_Toc35393804"/>
      <w:bookmarkStart w:id="33" w:name="_Toc35393635"/>
      <w:r>
        <w:rPr>
          <w:rFonts w:hint="eastAsia" w:ascii="宋体" w:hAnsi="宋体" w:eastAsia="宋体" w:cs="宋体"/>
          <w:sz w:val="24"/>
          <w:szCs w:val="24"/>
        </w:rPr>
        <w:t>七、其他补充事宜</w:t>
      </w:r>
      <w:bookmarkEnd w:id="32"/>
      <w:bookmarkEnd w:id="33"/>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中心全面实行在线“不见面”开标，供应商需要在投标截止时间前在平顶山市公共资源交易中心交易系统中将加密电子投标文件加密上传，不再到开标现场，供应商开标前应仔细阅读《“不见面”开标注意事项及操作流程》。逾期上传的投标文件，采购人不予受理。</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 供应商可通过平顶山市公共资源交易平台向采购人（代理机构）、行政监督部门提出在线质疑（异议）、投诉。</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3.该公告已同步至“平顶山市公共资源交易中心微信公众号”，可通过公众号中的服务栏目进行查阅”。</w:t>
      </w:r>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4.监督部门：</w:t>
      </w:r>
      <w:r>
        <w:rPr>
          <w:rFonts w:hint="eastAsia" w:ascii="宋体" w:hAnsi="宋体"/>
          <w:sz w:val="24"/>
          <w:szCs w:val="24"/>
          <w:highlight w:val="none"/>
        </w:rPr>
        <w:t>平顶山市卫东区政府采购管理办公室</w:t>
      </w:r>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r>
        <w:rPr>
          <w:rFonts w:hint="eastAsia" w:ascii="宋体" w:hAnsi="宋体"/>
          <w:sz w:val="24"/>
          <w:szCs w:val="24"/>
          <w:highlight w:val="none"/>
        </w:rPr>
        <w:t>12410403MBON168208</w:t>
      </w:r>
    </w:p>
    <w:p>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cs="宋体"/>
          <w:sz w:val="24"/>
          <w:szCs w:val="24"/>
          <w:highlight w:val="none"/>
          <w:lang w:val="en-US" w:eastAsia="zh-CN"/>
        </w:rPr>
        <w:t>杨先生</w:t>
      </w:r>
    </w:p>
    <w:p>
      <w:pPr>
        <w:bidi w:val="0"/>
        <w:spacing w:line="360" w:lineRule="auto"/>
        <w:rPr>
          <w:rFonts w:hint="default" w:ascii="宋体" w:hAnsi="宋体" w:eastAsia="宋体" w:cs="宋体"/>
          <w:sz w:val="24"/>
          <w:szCs w:val="24"/>
          <w:highlight w:val="none"/>
          <w:lang w:val="en-US"/>
        </w:rPr>
      </w:pPr>
      <w:r>
        <w:rPr>
          <w:rFonts w:hint="eastAsia" w:ascii="宋体" w:hAnsi="宋体" w:eastAsia="宋体" w:cs="宋体"/>
          <w:sz w:val="24"/>
          <w:szCs w:val="24"/>
          <w:highlight w:val="none"/>
        </w:rPr>
        <w:t>电 话：</w:t>
      </w:r>
      <w:r>
        <w:rPr>
          <w:rFonts w:hint="eastAsia" w:ascii="宋体" w:hAnsi="宋体"/>
          <w:sz w:val="24"/>
          <w:szCs w:val="24"/>
          <w:highlight w:val="none"/>
        </w:rPr>
        <w:t>0375-</w:t>
      </w:r>
      <w:r>
        <w:rPr>
          <w:rFonts w:hint="eastAsia" w:ascii="宋体" w:hAnsi="宋体"/>
          <w:sz w:val="24"/>
          <w:szCs w:val="24"/>
          <w:highlight w:val="none"/>
          <w:lang w:val="en-US" w:eastAsia="zh-CN"/>
        </w:rPr>
        <w:t>3653080</w:t>
      </w:r>
    </w:p>
    <w:p>
      <w:pPr>
        <w:bidi w:val="0"/>
        <w:spacing w:line="360" w:lineRule="auto"/>
        <w:rPr>
          <w:rFonts w:hint="eastAsia" w:ascii="宋体" w:hAnsi="宋体" w:eastAsia="宋体" w:cs="宋体"/>
          <w:sz w:val="24"/>
          <w:szCs w:val="24"/>
        </w:rPr>
      </w:pPr>
      <w:bookmarkStart w:id="34" w:name="_Toc28359095"/>
      <w:bookmarkStart w:id="35" w:name="_Toc35393636"/>
      <w:bookmarkStart w:id="36" w:name="_Toc35393805"/>
      <w:bookmarkStart w:id="37" w:name="_Toc28359018"/>
      <w:r>
        <w:rPr>
          <w:rFonts w:hint="eastAsia" w:ascii="宋体" w:hAnsi="宋体" w:eastAsia="宋体" w:cs="宋体"/>
          <w:sz w:val="24"/>
          <w:szCs w:val="24"/>
        </w:rPr>
        <w:t>八、凡对本次采购提出询问，请按以下方式联系。</w:t>
      </w:r>
      <w:bookmarkEnd w:id="34"/>
      <w:bookmarkEnd w:id="35"/>
      <w:bookmarkEnd w:id="36"/>
      <w:bookmarkEnd w:id="37"/>
    </w:p>
    <w:p>
      <w:pPr>
        <w:bidi w:val="0"/>
        <w:spacing w:line="360" w:lineRule="auto"/>
        <w:rPr>
          <w:rFonts w:hint="eastAsia" w:ascii="宋体" w:hAnsi="宋体" w:eastAsia="宋体" w:cs="宋体"/>
          <w:sz w:val="24"/>
          <w:szCs w:val="24"/>
        </w:rPr>
      </w:pPr>
      <w:bookmarkStart w:id="38" w:name="_Toc35393637"/>
      <w:bookmarkStart w:id="39" w:name="_Toc35393806"/>
      <w:bookmarkStart w:id="40" w:name="_Toc28359096"/>
      <w:bookmarkStart w:id="41" w:name="_Toc28359019"/>
      <w:r>
        <w:rPr>
          <w:rFonts w:hint="eastAsia" w:ascii="宋体" w:hAnsi="宋体" w:eastAsia="宋体" w:cs="宋体"/>
          <w:sz w:val="24"/>
          <w:szCs w:val="24"/>
        </w:rPr>
        <w:t>1.采购人信息</w:t>
      </w:r>
      <w:bookmarkEnd w:id="38"/>
      <w:bookmarkEnd w:id="39"/>
      <w:bookmarkEnd w:id="40"/>
      <w:bookmarkEnd w:id="41"/>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平顶山市卫东区农业农村和水利局</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地    址：平顶山市建设路东段</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联系人：李先生</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联系方式：13653758081 </w:t>
      </w:r>
    </w:p>
    <w:p>
      <w:pPr>
        <w:bidi w:val="0"/>
        <w:spacing w:line="360" w:lineRule="auto"/>
        <w:rPr>
          <w:rFonts w:hint="eastAsia" w:ascii="宋体" w:hAnsi="宋体" w:eastAsia="宋体" w:cs="宋体"/>
          <w:sz w:val="24"/>
          <w:szCs w:val="24"/>
        </w:rPr>
      </w:pPr>
      <w:bookmarkStart w:id="42" w:name="_Toc35393807"/>
      <w:bookmarkStart w:id="43" w:name="_Toc28359097"/>
      <w:bookmarkStart w:id="44" w:name="_Toc35393638"/>
      <w:bookmarkStart w:id="45" w:name="_Toc28359020"/>
      <w:r>
        <w:rPr>
          <w:rFonts w:hint="eastAsia" w:ascii="宋体" w:hAnsi="宋体" w:eastAsia="宋体" w:cs="宋体"/>
          <w:sz w:val="24"/>
          <w:szCs w:val="24"/>
        </w:rPr>
        <w:t>2.采购代理机构信息</w:t>
      </w:r>
      <w:bookmarkEnd w:id="42"/>
      <w:bookmarkEnd w:id="43"/>
      <w:bookmarkEnd w:id="44"/>
      <w:bookmarkEnd w:id="45"/>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lang w:eastAsia="zh-CN"/>
        </w:rPr>
        <w:t>河南远略工程管理有限公司</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址：河南省郑州市管城回族区商城路1号新纪元酒店五楼520室</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孙先生</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15617370201</w:t>
      </w:r>
    </w:p>
    <w:p>
      <w:pPr>
        <w:bidi w:val="0"/>
        <w:spacing w:line="360" w:lineRule="auto"/>
        <w:rPr>
          <w:rFonts w:hint="eastAsia" w:ascii="宋体" w:hAnsi="宋体" w:eastAsia="宋体" w:cs="宋体"/>
          <w:sz w:val="24"/>
          <w:szCs w:val="24"/>
        </w:rPr>
      </w:pPr>
      <w:bookmarkStart w:id="46" w:name="_Toc28359021"/>
      <w:bookmarkStart w:id="47" w:name="_Toc35393808"/>
      <w:bookmarkStart w:id="48" w:name="_Toc35393639"/>
      <w:bookmarkStart w:id="49" w:name="_Toc28359098"/>
      <w:r>
        <w:rPr>
          <w:rFonts w:hint="eastAsia" w:ascii="宋体" w:hAnsi="宋体" w:eastAsia="宋体" w:cs="宋体"/>
          <w:sz w:val="24"/>
          <w:szCs w:val="24"/>
        </w:rPr>
        <w:t>3.项目联系方式</w:t>
      </w:r>
      <w:bookmarkEnd w:id="46"/>
      <w:bookmarkEnd w:id="47"/>
      <w:bookmarkEnd w:id="48"/>
      <w:bookmarkEnd w:id="49"/>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项目联系人：</w:t>
      </w:r>
      <w:r>
        <w:rPr>
          <w:rFonts w:hint="eastAsia" w:ascii="宋体" w:hAnsi="宋体" w:eastAsia="宋体" w:cs="宋体"/>
          <w:sz w:val="24"/>
          <w:szCs w:val="24"/>
          <w:lang w:val="en-US" w:eastAsia="zh-CN"/>
        </w:rPr>
        <w:t>孙先生</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话：</w:t>
      </w:r>
      <w:r>
        <w:rPr>
          <w:rFonts w:hint="eastAsia" w:ascii="宋体" w:hAnsi="宋体" w:eastAsia="宋体" w:cs="宋体"/>
          <w:sz w:val="24"/>
          <w:szCs w:val="24"/>
          <w:lang w:val="en-US" w:eastAsia="zh-CN"/>
        </w:rPr>
        <w:t>15617370201</w:t>
      </w:r>
    </w:p>
    <w:p>
      <w:pPr>
        <w:bidi w:val="0"/>
        <w:rPr>
          <w:sz w:val="24"/>
          <w:szCs w:val="24"/>
        </w:rPr>
      </w:pPr>
    </w:p>
    <w:p>
      <w:pPr>
        <w:spacing w:line="360" w:lineRule="auto"/>
        <w:ind w:firstLine="482" w:firstLineChars="200"/>
        <w:jc w:val="center"/>
        <w:rPr>
          <w:rFonts w:ascii="宋体" w:hAnsi="宋体"/>
          <w:sz w:val="24"/>
          <w:szCs w:val="24"/>
        </w:rPr>
      </w:pPr>
      <w:r>
        <w:rPr>
          <w:rFonts w:hint="eastAsia" w:ascii="宋体" w:hAnsi="宋体"/>
          <w:b/>
          <w:bCs/>
          <w:sz w:val="24"/>
          <w:szCs w:val="24"/>
        </w:rPr>
        <w:t>温馨提示</w:t>
      </w:r>
    </w:p>
    <w:p>
      <w:pPr>
        <w:spacing w:line="360" w:lineRule="auto"/>
        <w:ind w:firstLine="480" w:firstLineChars="200"/>
        <w:rPr>
          <w:rFonts w:ascii="宋体" w:hAnsi="宋体"/>
          <w:sz w:val="24"/>
          <w:szCs w:val="24"/>
        </w:rPr>
      </w:pPr>
      <w:r>
        <w:rPr>
          <w:rFonts w:hint="eastAsia" w:ascii="宋体" w:hAnsi="宋体"/>
          <w:sz w:val="24"/>
          <w:szCs w:val="24"/>
        </w:rPr>
        <w:t>一、本项目为全流程电子化交易项目，请认真阅读采购文件，并注意以下事项：</w:t>
      </w:r>
    </w:p>
    <w:p>
      <w:pPr>
        <w:spacing w:line="360" w:lineRule="auto"/>
        <w:ind w:firstLine="480" w:firstLineChars="200"/>
        <w:rPr>
          <w:rFonts w:ascii="宋体" w:hAnsi="宋体"/>
          <w:sz w:val="24"/>
          <w:szCs w:val="24"/>
        </w:rPr>
      </w:pPr>
      <w:r>
        <w:rPr>
          <w:rFonts w:hint="eastAsia" w:ascii="宋体" w:hAnsi="宋体"/>
          <w:sz w:val="24"/>
          <w:szCs w:val="24"/>
        </w:rPr>
        <w:t>1、供应商应按采购文件规定编制、提交电子投标文件,同时，供应商应提供与已上传的电子投标文件一致的pdf版电子投标文档（本项目不提供）。</w:t>
      </w:r>
    </w:p>
    <w:p>
      <w:pPr>
        <w:spacing w:line="360" w:lineRule="auto"/>
        <w:ind w:firstLine="480" w:firstLineChars="200"/>
        <w:rPr>
          <w:rFonts w:ascii="宋体" w:hAnsi="宋体"/>
          <w:sz w:val="24"/>
          <w:szCs w:val="24"/>
        </w:rPr>
      </w:pPr>
      <w:r>
        <w:rPr>
          <w:rFonts w:hint="eastAsia" w:ascii="宋体" w:hAnsi="宋体"/>
          <w:sz w:val="24"/>
          <w:szCs w:val="24"/>
        </w:rPr>
        <w:t>2、本项目供应商不用再提供纸质投标文件。</w:t>
      </w:r>
    </w:p>
    <w:p>
      <w:pPr>
        <w:spacing w:line="360" w:lineRule="auto"/>
        <w:ind w:firstLine="480" w:firstLineChars="200"/>
        <w:rPr>
          <w:rFonts w:ascii="宋体" w:hAnsi="宋体"/>
          <w:sz w:val="24"/>
          <w:szCs w:val="24"/>
        </w:rPr>
      </w:pPr>
      <w:r>
        <w:rPr>
          <w:rFonts w:hint="eastAsia" w:ascii="宋体" w:hAnsi="宋体"/>
          <w:sz w:val="24"/>
          <w:szCs w:val="24"/>
        </w:rPr>
        <w:t>3、电子文件下载、制作、提交期间和开标（电子投标文件的解密）环节，供应商须使用CA数字证书（证书须在有效期内）。</w:t>
      </w:r>
    </w:p>
    <w:p>
      <w:pPr>
        <w:spacing w:line="360" w:lineRule="auto"/>
        <w:ind w:firstLine="480" w:firstLineChars="200"/>
        <w:rPr>
          <w:rFonts w:ascii="宋体" w:hAnsi="宋体"/>
          <w:sz w:val="24"/>
          <w:szCs w:val="24"/>
        </w:rPr>
      </w:pPr>
      <w:r>
        <w:rPr>
          <w:rFonts w:hint="eastAsia" w:ascii="宋体" w:hAnsi="宋体"/>
          <w:sz w:val="24"/>
          <w:szCs w:val="24"/>
        </w:rPr>
        <w:t>4、电子投标文件的制作</w:t>
      </w:r>
    </w:p>
    <w:p>
      <w:pPr>
        <w:spacing w:line="360" w:lineRule="auto"/>
        <w:ind w:firstLine="480" w:firstLineChars="200"/>
        <w:rPr>
          <w:rFonts w:ascii="宋体" w:hAnsi="宋体"/>
          <w:sz w:val="24"/>
          <w:szCs w:val="24"/>
        </w:rPr>
      </w:pPr>
      <w:r>
        <w:rPr>
          <w:rFonts w:hint="eastAsia" w:ascii="宋体" w:hAnsi="宋体"/>
          <w:sz w:val="24"/>
          <w:szCs w:val="24"/>
        </w:rPr>
        <w:t>4.1供应商登录《全国公共资源交易平台(河南省</w:t>
      </w:r>
      <w:r>
        <w:rPr>
          <w:rFonts w:hint="eastAsia" w:ascii="微软雅黑" w:hAnsi="微软雅黑" w:eastAsia="微软雅黑" w:cs="微软雅黑"/>
          <w:sz w:val="24"/>
          <w:szCs w:val="24"/>
        </w:rPr>
        <w:t>▪</w:t>
      </w:r>
      <w:r>
        <w:rPr>
          <w:rFonts w:hint="eastAsia" w:ascii="宋体" w:hAnsi="宋体"/>
          <w:sz w:val="24"/>
          <w:szCs w:val="24"/>
        </w:rPr>
        <w:t>平顶山市)》公共资源交易系统（http://221.176.192.166:8080/ggzy/）下载“平顶山投标文件制作系统”，按采购文件要求制作电子投标文件。</w:t>
      </w:r>
    </w:p>
    <w:p>
      <w:pPr>
        <w:spacing w:line="360" w:lineRule="auto"/>
        <w:ind w:firstLine="480" w:firstLineChars="200"/>
        <w:rPr>
          <w:rFonts w:ascii="宋体" w:hAnsi="宋体"/>
          <w:sz w:val="24"/>
          <w:szCs w:val="24"/>
        </w:rPr>
      </w:pPr>
      <w:r>
        <w:rPr>
          <w:rFonts w:hint="eastAsia" w:ascii="宋体" w:hAnsi="宋体"/>
          <w:sz w:val="24"/>
          <w:szCs w:val="24"/>
        </w:rPr>
        <w:t>电子投标文件的制作，参考《全国公共资源交易平台(河南省</w:t>
      </w:r>
      <w:r>
        <w:rPr>
          <w:rFonts w:hint="eastAsia" w:ascii="微软雅黑" w:hAnsi="微软雅黑" w:eastAsia="微软雅黑" w:cs="微软雅黑"/>
          <w:sz w:val="24"/>
          <w:szCs w:val="24"/>
        </w:rPr>
        <w:t>▪</w:t>
      </w:r>
      <w:r>
        <w:rPr>
          <w:rFonts w:hint="eastAsia" w:ascii="宋体" w:hAnsi="宋体"/>
          <w:sz w:val="24"/>
          <w:szCs w:val="24"/>
        </w:rPr>
        <w:t>平顶山市)》公共资源交易系统——组件下载——交易系统操作手册（投标人、供应商）。</w:t>
      </w:r>
    </w:p>
    <w:p>
      <w:pPr>
        <w:spacing w:line="360" w:lineRule="auto"/>
        <w:ind w:firstLine="480" w:firstLineChars="200"/>
        <w:rPr>
          <w:rFonts w:ascii="宋体" w:hAnsi="宋体"/>
          <w:sz w:val="24"/>
          <w:szCs w:val="24"/>
        </w:rPr>
      </w:pPr>
      <w:r>
        <w:rPr>
          <w:rFonts w:hint="eastAsia" w:ascii="宋体" w:hAnsi="宋体"/>
          <w:sz w:val="24"/>
          <w:szCs w:val="24"/>
        </w:rPr>
        <w:t>4.2供应商须将采购文件要求的资质、业绩、荣誉及相关人员证明材料等资料原件扫描件（或图片）制作到所提交的电子投标文件中。</w:t>
      </w:r>
    </w:p>
    <w:p>
      <w:pPr>
        <w:spacing w:line="360" w:lineRule="auto"/>
        <w:ind w:firstLine="480" w:firstLineChars="200"/>
        <w:rPr>
          <w:rFonts w:ascii="宋体" w:hAnsi="宋体"/>
          <w:sz w:val="24"/>
          <w:szCs w:val="24"/>
        </w:rPr>
      </w:pPr>
      <w:r>
        <w:rPr>
          <w:rFonts w:hint="eastAsia" w:ascii="宋体" w:hAnsi="宋体"/>
          <w:sz w:val="24"/>
          <w:szCs w:val="24"/>
        </w:rPr>
        <w:t>4.3供应商对同一项目多个标段进行投标的，应分别下载所投标段的采购文件，按标段制作电子投标文件，并按采购文件要求在相应位置加盖供应商电子印章和法人电子印章。</w:t>
      </w:r>
    </w:p>
    <w:p>
      <w:pPr>
        <w:spacing w:line="360" w:lineRule="auto"/>
        <w:ind w:firstLine="480" w:firstLineChars="200"/>
        <w:rPr>
          <w:rFonts w:ascii="宋体" w:hAnsi="宋体"/>
          <w:sz w:val="24"/>
          <w:szCs w:val="24"/>
        </w:rPr>
      </w:pPr>
      <w:r>
        <w:rPr>
          <w:rFonts w:hint="eastAsia" w:ascii="宋体" w:hAnsi="宋体"/>
          <w:sz w:val="24"/>
          <w:szCs w:val="24"/>
        </w:rPr>
        <w:t>一个标段对应生成一个文件夹（xxxx项目xx标段）, 其中包含2个文件和1个文件夹。后缀名为“.file”的文件用于电子投标使用，名称为“备份”的文件夹使用电子介质存储，供开标现场备用。</w:t>
      </w:r>
    </w:p>
    <w:p>
      <w:pPr>
        <w:spacing w:line="360" w:lineRule="auto"/>
        <w:ind w:firstLine="480" w:firstLineChars="200"/>
        <w:rPr>
          <w:rFonts w:ascii="宋体" w:hAnsi="宋体"/>
          <w:sz w:val="24"/>
          <w:szCs w:val="24"/>
        </w:rPr>
      </w:pPr>
      <w:r>
        <w:rPr>
          <w:rFonts w:hint="eastAsia" w:ascii="宋体" w:hAnsi="宋体"/>
          <w:sz w:val="24"/>
          <w:szCs w:val="24"/>
        </w:rPr>
        <w:t>5、加密电子投标文件的提交</w:t>
      </w:r>
    </w:p>
    <w:p>
      <w:pPr>
        <w:spacing w:line="360" w:lineRule="auto"/>
        <w:ind w:firstLine="480" w:firstLineChars="200"/>
        <w:rPr>
          <w:rFonts w:ascii="宋体" w:hAnsi="宋体"/>
          <w:sz w:val="24"/>
          <w:szCs w:val="24"/>
        </w:rPr>
      </w:pPr>
      <w:r>
        <w:rPr>
          <w:rFonts w:hint="eastAsia" w:ascii="宋体" w:hAnsi="宋体"/>
          <w:sz w:val="24"/>
          <w:szCs w:val="24"/>
        </w:rPr>
        <w:t>5.1加密电子投标文件应在采购文件规定的投标截止时间（开标时间）之前成功提交至《全国公共资源交易平台(河南省</w:t>
      </w:r>
      <w:r>
        <w:rPr>
          <w:rFonts w:hint="eastAsia" w:ascii="微软雅黑" w:hAnsi="微软雅黑" w:eastAsia="微软雅黑" w:cs="微软雅黑"/>
          <w:sz w:val="24"/>
          <w:szCs w:val="24"/>
        </w:rPr>
        <w:t>▪</w:t>
      </w:r>
      <w:r>
        <w:rPr>
          <w:rFonts w:hint="eastAsia" w:ascii="宋体" w:hAnsi="宋体"/>
          <w:sz w:val="24"/>
          <w:szCs w:val="24"/>
        </w:rPr>
        <w:t>平顶山市)》公共资源交易系统（http://221.176.192.166:8080/ggzy/）。供应商应充分考虑并预留技术处理和上传数据所需时间。</w:t>
      </w:r>
    </w:p>
    <w:p>
      <w:pPr>
        <w:spacing w:line="360" w:lineRule="auto"/>
        <w:ind w:firstLine="480" w:firstLineChars="200"/>
        <w:rPr>
          <w:rFonts w:ascii="宋体" w:hAnsi="宋体"/>
          <w:sz w:val="24"/>
          <w:szCs w:val="24"/>
        </w:rPr>
      </w:pPr>
      <w:r>
        <w:rPr>
          <w:rFonts w:hint="eastAsia" w:ascii="宋体" w:hAnsi="宋体"/>
          <w:sz w:val="24"/>
          <w:szCs w:val="24"/>
        </w:rPr>
        <w:t>5.2供应商对同一项目多个标段进行投标的，加密电子投标文件应按标段分别提交。</w:t>
      </w:r>
    </w:p>
    <w:p>
      <w:pPr>
        <w:spacing w:line="360" w:lineRule="auto"/>
        <w:ind w:firstLine="480" w:firstLineChars="200"/>
        <w:rPr>
          <w:rFonts w:ascii="宋体" w:hAnsi="宋体"/>
          <w:sz w:val="24"/>
          <w:szCs w:val="24"/>
        </w:rPr>
      </w:pPr>
      <w:r>
        <w:rPr>
          <w:rFonts w:hint="eastAsia" w:ascii="宋体" w:hAnsi="宋体"/>
          <w:sz w:val="24"/>
          <w:szCs w:val="24"/>
        </w:rPr>
        <w:t>二、“不见面”开标注意事项及操作流程</w:t>
      </w:r>
    </w:p>
    <w:p>
      <w:pPr>
        <w:spacing w:line="360" w:lineRule="auto"/>
        <w:ind w:firstLine="480" w:firstLineChars="200"/>
        <w:rPr>
          <w:rFonts w:ascii="宋体" w:hAnsi="宋体"/>
          <w:sz w:val="24"/>
          <w:szCs w:val="24"/>
        </w:rPr>
      </w:pPr>
      <w:r>
        <w:rPr>
          <w:rFonts w:hint="eastAsia" w:ascii="宋体" w:hAnsi="宋体"/>
          <w:sz w:val="24"/>
          <w:szCs w:val="24"/>
        </w:rPr>
        <w:t>1、开标时，投标人采用网上远程异地解密时，请用CA证书登录平顶山市公共资源交易中心业务系统，进入本项目开标大厅点击解密来完成投标文件的解密工作。每位投标人的解密时间从开标时间起60分钟内完成，超过规定时间解密的投标文件不予接收。</w:t>
      </w:r>
    </w:p>
    <w:p>
      <w:pPr>
        <w:spacing w:line="360" w:lineRule="auto"/>
        <w:ind w:firstLine="480" w:firstLineChars="200"/>
        <w:rPr>
          <w:rFonts w:ascii="宋体" w:hAnsi="宋体"/>
          <w:sz w:val="24"/>
          <w:szCs w:val="24"/>
        </w:rPr>
      </w:pPr>
      <w:r>
        <w:rPr>
          <w:rFonts w:hint="eastAsia" w:ascii="宋体" w:hAnsi="宋体"/>
          <w:sz w:val="24"/>
          <w:szCs w:val="24"/>
        </w:rPr>
        <w:t>2、如出现投标人的电子投标文件无法解密的情况，投标人应及时联系采购人（代理机构）进行说明。投标文件解密异常，按以下步骤进行处理：</w:t>
      </w:r>
    </w:p>
    <w:p>
      <w:pPr>
        <w:spacing w:line="360" w:lineRule="auto"/>
        <w:ind w:firstLine="480" w:firstLineChars="200"/>
        <w:rPr>
          <w:rFonts w:ascii="宋体" w:hAnsi="宋体"/>
          <w:sz w:val="24"/>
          <w:szCs w:val="24"/>
        </w:rPr>
      </w:pPr>
      <w:r>
        <w:rPr>
          <w:rFonts w:hint="eastAsia" w:ascii="宋体" w:hAnsi="宋体"/>
          <w:sz w:val="24"/>
          <w:szCs w:val="24"/>
        </w:rPr>
        <w:t>（1）如果是投标文件自身问题导致投标文件无法解密的，该投标文件将不予接收、解密。</w:t>
      </w:r>
    </w:p>
    <w:p>
      <w:pPr>
        <w:spacing w:line="360" w:lineRule="auto"/>
        <w:ind w:firstLine="480" w:firstLineChars="200"/>
        <w:rPr>
          <w:rFonts w:ascii="宋体" w:hAnsi="宋体"/>
          <w:sz w:val="24"/>
          <w:szCs w:val="24"/>
        </w:rPr>
      </w:pPr>
      <w:r>
        <w:rPr>
          <w:rFonts w:hint="eastAsia" w:ascii="宋体" w:hAnsi="宋体"/>
          <w:sz w:val="24"/>
          <w:szCs w:val="24"/>
        </w:rPr>
        <w:t>（2）如果是电子化交易系统问题造成投标文件无法解密的，将由技术人员进行排查处理。如短时间内问题无法解决的，将由采购人（代理机构）联系监督部门申请暂停开标，待问题解决后继续开标。</w:t>
      </w:r>
    </w:p>
    <w:p>
      <w:pPr>
        <w:spacing w:line="360" w:lineRule="auto"/>
        <w:ind w:firstLine="480" w:firstLineChars="200"/>
        <w:rPr>
          <w:rFonts w:ascii="宋体" w:hAnsi="宋体"/>
          <w:sz w:val="24"/>
          <w:szCs w:val="24"/>
        </w:rPr>
      </w:pPr>
      <w:r>
        <w:rPr>
          <w:rFonts w:hint="eastAsia" w:ascii="宋体" w:hAnsi="宋体"/>
          <w:sz w:val="24"/>
          <w:szCs w:val="24"/>
        </w:rPr>
        <w:t>3、所有投标文件解密完成后，由采购人（代理机构）操作，对开标结果进行公示。</w:t>
      </w:r>
    </w:p>
    <w:p>
      <w:pPr>
        <w:spacing w:line="360" w:lineRule="auto"/>
        <w:ind w:firstLine="480" w:firstLineChars="200"/>
        <w:rPr>
          <w:rFonts w:hint="eastAsia" w:ascii="宋体" w:hAnsi="宋体"/>
          <w:sz w:val="24"/>
          <w:szCs w:val="24"/>
        </w:rPr>
      </w:pPr>
      <w:r>
        <w:rPr>
          <w:rFonts w:hint="eastAsia" w:ascii="宋体" w:hAnsi="宋体"/>
          <w:sz w:val="24"/>
          <w:szCs w:val="24"/>
        </w:rPr>
        <w:t>4、投标人应保证在开标期间电话、电脑、网络等能够正常使用，投标人因停电、电脑病毒、网络堵塞等原因，未在规定的解密时间内对投标文件进行解密的，其投标文件不予接收。</w:t>
      </w:r>
    </w:p>
    <w:p>
      <w:pPr>
        <w:spacing w:line="360" w:lineRule="auto"/>
        <w:ind w:firstLine="480" w:firstLineChars="200"/>
        <w:rPr>
          <w:rFonts w:hint="eastAsia"/>
          <w:sz w:val="24"/>
          <w:szCs w:val="24"/>
        </w:rPr>
      </w:pPr>
      <w:r>
        <w:rPr>
          <w:rFonts w:hint="eastAsia" w:ascii="宋体" w:hAnsi="宋体"/>
          <w:sz w:val="24"/>
          <w:szCs w:val="24"/>
        </w:rPr>
        <w:t>5、解密完成后，投标人可登录到交易系统查看自己的投标报价。如对自己的报价内容有异议的，应在报价内容显示后20分钟内联系采购人（代理机构）进行质疑，投标人未在规定时间内提出质疑的，视为认可开标结果显示内容。</w:t>
      </w:r>
    </w:p>
    <w:p>
      <w:pPr>
        <w:rPr>
          <w:rFonts w:hint="eastAsia"/>
        </w:rPr>
      </w:pPr>
      <w:r>
        <w:rPr>
          <w:rFonts w:hint="eastAsia"/>
        </w:rPr>
        <w:br w:type="page"/>
      </w:r>
    </w:p>
    <w:p>
      <w:pPr>
        <w:pStyle w:val="7"/>
        <w:spacing w:line="360" w:lineRule="auto"/>
        <w:jc w:val="center"/>
        <w:rPr>
          <w:rFonts w:hint="eastAsia"/>
        </w:rPr>
      </w:pPr>
      <w:bookmarkStart w:id="50" w:name="_Toc18221"/>
      <w:bookmarkStart w:id="51" w:name="_Toc12656"/>
      <w:bookmarkStart w:id="52" w:name="_Toc9118_WPSOffice_Level1"/>
      <w:bookmarkStart w:id="53" w:name="_Toc98"/>
      <w:r>
        <w:rPr>
          <w:rFonts w:hint="eastAsia" w:ascii="宋体" w:hAnsi="宋体"/>
          <w:sz w:val="32"/>
          <w:szCs w:val="32"/>
        </w:rPr>
        <w:t xml:space="preserve">第二章 </w:t>
      </w:r>
      <w:r>
        <w:rPr>
          <w:rFonts w:hint="eastAsia" w:ascii="宋体" w:hAnsi="宋体"/>
          <w:sz w:val="32"/>
          <w:szCs w:val="32"/>
          <w:lang w:val="en-US" w:eastAsia="zh-CN"/>
        </w:rPr>
        <w:t>供应商</w:t>
      </w:r>
      <w:r>
        <w:rPr>
          <w:rFonts w:hint="eastAsia" w:ascii="宋体" w:hAnsi="宋体"/>
          <w:sz w:val="32"/>
          <w:szCs w:val="32"/>
        </w:rPr>
        <w:t>须知</w:t>
      </w:r>
      <w:bookmarkEnd w:id="50"/>
      <w:bookmarkEnd w:id="51"/>
      <w:bookmarkEnd w:id="52"/>
      <w:bookmarkEnd w:id="53"/>
    </w:p>
    <w:p>
      <w:pPr>
        <w:spacing w:line="360" w:lineRule="auto"/>
        <w:jc w:val="center"/>
        <w:rPr>
          <w:rFonts w:hint="eastAsia" w:ascii="宋体" w:hAnsi="宋体" w:eastAsia="宋体"/>
          <w:b/>
          <w:bCs/>
        </w:rPr>
      </w:pPr>
      <w:bookmarkStart w:id="54" w:name="_Toc144974496"/>
      <w:bookmarkStart w:id="55" w:name="_Toc152042304"/>
      <w:bookmarkStart w:id="56" w:name="_Toc152045528"/>
      <w:bookmarkStart w:id="57" w:name="_Toc24442"/>
      <w:bookmarkStart w:id="58" w:name="_Toc6692"/>
      <w:r>
        <w:rPr>
          <w:rFonts w:hint="eastAsia" w:ascii="宋体" w:hAnsi="宋体"/>
          <w:b/>
          <w:bCs/>
          <w:lang w:val="en-US" w:eastAsia="zh-CN"/>
        </w:rPr>
        <w:t>供应商</w:t>
      </w:r>
      <w:r>
        <w:rPr>
          <w:rFonts w:hint="eastAsia" w:ascii="宋体" w:hAnsi="宋体" w:eastAsia="宋体"/>
          <w:b/>
          <w:bCs/>
        </w:rPr>
        <w:t>须知前附表</w:t>
      </w:r>
      <w:bookmarkEnd w:id="54"/>
      <w:bookmarkEnd w:id="55"/>
      <w:bookmarkEnd w:id="56"/>
      <w:bookmarkEnd w:id="57"/>
      <w:bookmarkEnd w:id="58"/>
    </w:p>
    <w:tbl>
      <w:tblPr>
        <w:tblStyle w:val="17"/>
        <w:tblW w:w="9819" w:type="dxa"/>
        <w:jc w:val="center"/>
        <w:tblLayout w:type="fixed"/>
        <w:tblCellMar>
          <w:top w:w="0" w:type="dxa"/>
          <w:left w:w="108" w:type="dxa"/>
          <w:bottom w:w="0" w:type="dxa"/>
          <w:right w:w="108" w:type="dxa"/>
        </w:tblCellMar>
      </w:tblPr>
      <w:tblGrid>
        <w:gridCol w:w="1096"/>
        <w:gridCol w:w="1580"/>
        <w:gridCol w:w="7143"/>
      </w:tblGrid>
      <w:tr>
        <w:tblPrEx>
          <w:tblCellMar>
            <w:top w:w="0" w:type="dxa"/>
            <w:left w:w="108" w:type="dxa"/>
            <w:bottom w:w="0" w:type="dxa"/>
            <w:right w:w="108" w:type="dxa"/>
          </w:tblCellMar>
        </w:tblPrEx>
        <w:trPr>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Cs w:val="21"/>
              </w:rPr>
            </w:pPr>
            <w:r>
              <w:rPr>
                <w:rFonts w:ascii="宋体" w:hAnsi="宋体"/>
                <w:b/>
                <w:szCs w:val="21"/>
              </w:rPr>
              <w:t>条款号</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Cs w:val="21"/>
              </w:rPr>
            </w:pPr>
            <w:r>
              <w:rPr>
                <w:rFonts w:ascii="宋体" w:hAnsi="宋体"/>
                <w:b/>
                <w:szCs w:val="21"/>
              </w:rPr>
              <w:t>条 款 名 称</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Cs w:val="21"/>
              </w:rPr>
            </w:pPr>
            <w:r>
              <w:rPr>
                <w:rFonts w:ascii="宋体" w:hAnsi="宋体"/>
                <w:b/>
                <w:szCs w:val="21"/>
              </w:rPr>
              <w:t>编  列  内  容</w:t>
            </w:r>
          </w:p>
        </w:tc>
      </w:tr>
      <w:tr>
        <w:tblPrEx>
          <w:tblCellMar>
            <w:top w:w="0" w:type="dxa"/>
            <w:left w:w="108" w:type="dxa"/>
            <w:bottom w:w="0" w:type="dxa"/>
            <w:right w:w="108" w:type="dxa"/>
          </w:tblCellMar>
        </w:tblPrEx>
        <w:trPr>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1.1.2</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采购人</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hAnsi="宋体"/>
                <w:sz w:val="21"/>
                <w:szCs w:val="21"/>
              </w:rPr>
            </w:pPr>
            <w:r>
              <w:rPr>
                <w:rFonts w:hint="eastAsia" w:hAnsi="宋体"/>
                <w:sz w:val="21"/>
                <w:szCs w:val="21"/>
              </w:rPr>
              <w:t>名  称：平顶山市卫东区农业农村和水利局</w:t>
            </w:r>
          </w:p>
          <w:p>
            <w:pPr>
              <w:spacing w:line="360" w:lineRule="auto"/>
              <w:rPr>
                <w:rFonts w:hint="eastAsia" w:hAnsi="宋体"/>
                <w:sz w:val="21"/>
                <w:szCs w:val="21"/>
              </w:rPr>
            </w:pPr>
            <w:r>
              <w:rPr>
                <w:rFonts w:hint="eastAsia" w:hAnsi="宋体"/>
                <w:sz w:val="21"/>
                <w:szCs w:val="21"/>
              </w:rPr>
              <w:t>地 址：平顶山市建设路东段</w:t>
            </w:r>
          </w:p>
          <w:p>
            <w:pPr>
              <w:spacing w:line="360" w:lineRule="auto"/>
              <w:rPr>
                <w:rFonts w:hint="eastAsia" w:hAnsi="宋体"/>
                <w:sz w:val="21"/>
                <w:szCs w:val="21"/>
              </w:rPr>
            </w:pPr>
            <w:r>
              <w:rPr>
                <w:rFonts w:hint="eastAsia" w:hAnsi="宋体"/>
                <w:sz w:val="21"/>
                <w:szCs w:val="21"/>
              </w:rPr>
              <w:t>联系人：李先生</w:t>
            </w:r>
          </w:p>
          <w:p>
            <w:pPr>
              <w:spacing w:line="360" w:lineRule="auto"/>
              <w:rPr>
                <w:rFonts w:hint="eastAsia" w:hAnsi="宋体"/>
                <w:sz w:val="21"/>
                <w:szCs w:val="21"/>
              </w:rPr>
            </w:pPr>
            <w:r>
              <w:rPr>
                <w:rFonts w:hint="eastAsia" w:hAnsi="宋体"/>
                <w:sz w:val="21"/>
                <w:szCs w:val="21"/>
              </w:rPr>
              <w:t>电  话： 13653758081</w:t>
            </w:r>
          </w:p>
        </w:tc>
      </w:tr>
      <w:tr>
        <w:tblPrEx>
          <w:tblCellMar>
            <w:top w:w="0" w:type="dxa"/>
            <w:left w:w="108" w:type="dxa"/>
            <w:bottom w:w="0" w:type="dxa"/>
            <w:right w:w="108" w:type="dxa"/>
          </w:tblCellMar>
        </w:tblPrEx>
        <w:trPr>
          <w:trHeight w:val="1659" w:hRule="atLeast"/>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1.1.3</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lang w:val="en-US" w:eastAsia="zh-CN"/>
              </w:rPr>
              <w:t>采购</w:t>
            </w:r>
            <w:r>
              <w:rPr>
                <w:rFonts w:ascii="宋体" w:hAnsi="宋体"/>
                <w:szCs w:val="21"/>
              </w:rPr>
              <w:t>代理机构</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hAnsi="宋体"/>
                <w:sz w:val="21"/>
                <w:szCs w:val="21"/>
              </w:rPr>
            </w:pPr>
            <w:r>
              <w:rPr>
                <w:rFonts w:hint="eastAsia" w:hAnsi="宋体"/>
                <w:sz w:val="21"/>
                <w:szCs w:val="21"/>
              </w:rPr>
              <w:t>名  称：</w:t>
            </w:r>
            <w:r>
              <w:rPr>
                <w:rFonts w:hint="eastAsia" w:hAnsi="宋体"/>
                <w:sz w:val="21"/>
                <w:szCs w:val="21"/>
                <w:lang w:eastAsia="zh-CN"/>
              </w:rPr>
              <w:t>河南远略工程管理有限公司</w:t>
            </w:r>
            <w:r>
              <w:rPr>
                <w:rFonts w:hint="eastAsia" w:hAnsi="宋体"/>
                <w:sz w:val="21"/>
                <w:szCs w:val="21"/>
              </w:rPr>
              <w:t xml:space="preserve"> </w:t>
            </w:r>
          </w:p>
          <w:p>
            <w:pPr>
              <w:spacing w:line="360" w:lineRule="auto"/>
              <w:rPr>
                <w:rFonts w:hint="eastAsia" w:hAnsi="宋体"/>
                <w:sz w:val="21"/>
                <w:szCs w:val="21"/>
              </w:rPr>
            </w:pPr>
            <w:r>
              <w:rPr>
                <w:rFonts w:hint="eastAsia" w:hAnsi="宋体"/>
                <w:sz w:val="21"/>
                <w:szCs w:val="21"/>
              </w:rPr>
              <w:t>联系人：孙先生</w:t>
            </w:r>
          </w:p>
          <w:p>
            <w:pPr>
              <w:spacing w:line="360" w:lineRule="auto"/>
              <w:rPr>
                <w:rFonts w:hint="eastAsia" w:hAnsi="宋体"/>
                <w:sz w:val="21"/>
                <w:szCs w:val="21"/>
              </w:rPr>
            </w:pPr>
            <w:r>
              <w:rPr>
                <w:rFonts w:hint="eastAsia" w:hAnsi="宋体"/>
                <w:sz w:val="21"/>
                <w:szCs w:val="21"/>
              </w:rPr>
              <w:t>电话：15617370201</w:t>
            </w:r>
          </w:p>
          <w:p>
            <w:pPr>
              <w:spacing w:line="360" w:lineRule="auto"/>
              <w:rPr>
                <w:rFonts w:hint="eastAsia" w:hAnsi="宋体"/>
                <w:sz w:val="21"/>
                <w:szCs w:val="21"/>
              </w:rPr>
            </w:pPr>
            <w:r>
              <w:rPr>
                <w:rFonts w:hint="eastAsia" w:hAnsi="宋体"/>
                <w:sz w:val="21"/>
                <w:szCs w:val="21"/>
              </w:rPr>
              <w:t>地址：河南省郑州市管城回族区商城路1号新纪元酒店五楼520室</w:t>
            </w:r>
          </w:p>
        </w:tc>
      </w:tr>
      <w:tr>
        <w:tblPrEx>
          <w:tblCellMar>
            <w:top w:w="0" w:type="dxa"/>
            <w:left w:w="108" w:type="dxa"/>
            <w:bottom w:w="0" w:type="dxa"/>
            <w:right w:w="108" w:type="dxa"/>
          </w:tblCellMar>
        </w:tblPrEx>
        <w:trPr>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1.1.4</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项目名称</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hAnsi="宋体" w:eastAsia="宋体" w:cs="宋体"/>
                <w:color w:val="auto"/>
                <w:sz w:val="21"/>
                <w:szCs w:val="21"/>
                <w:lang w:eastAsia="zh-CN"/>
              </w:rPr>
            </w:pPr>
            <w:r>
              <w:rPr>
                <w:rFonts w:hint="eastAsia" w:hAnsi="宋体" w:eastAsia="宋体" w:cs="宋体"/>
                <w:color w:val="auto"/>
                <w:sz w:val="21"/>
                <w:szCs w:val="21"/>
                <w:lang w:eastAsia="zh-CN"/>
              </w:rPr>
              <w:t>平顶山市卫东区农业农村和水利局2023年卫东区光华路街道0.3万亩高标准农田建设项目</w:t>
            </w:r>
          </w:p>
        </w:tc>
      </w:tr>
      <w:tr>
        <w:tblPrEx>
          <w:tblCellMar>
            <w:top w:w="0" w:type="dxa"/>
            <w:left w:w="108" w:type="dxa"/>
            <w:bottom w:w="0" w:type="dxa"/>
            <w:right w:w="108" w:type="dxa"/>
          </w:tblCellMar>
        </w:tblPrEx>
        <w:trPr>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1.1.5</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建设地点</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hAnsi="宋体" w:eastAsia="宋体"/>
                <w:lang w:eastAsia="zh-CN"/>
              </w:rPr>
            </w:pPr>
            <w:r>
              <w:rPr>
                <w:rFonts w:hint="eastAsia" w:hAnsi="宋体"/>
              </w:rPr>
              <w:t>平顶山市卫东区</w:t>
            </w:r>
            <w:r>
              <w:rPr>
                <w:rFonts w:hint="eastAsia" w:hAnsi="宋体"/>
                <w:lang w:eastAsia="zh-CN"/>
              </w:rPr>
              <w:t>光华路街道</w:t>
            </w:r>
          </w:p>
        </w:tc>
      </w:tr>
      <w:tr>
        <w:tblPrEx>
          <w:tblCellMar>
            <w:top w:w="0" w:type="dxa"/>
            <w:left w:w="108" w:type="dxa"/>
            <w:bottom w:w="0" w:type="dxa"/>
            <w:right w:w="108" w:type="dxa"/>
          </w:tblCellMar>
        </w:tblPrEx>
        <w:trPr>
          <w:trHeight w:val="90" w:hRule="atLeast"/>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1.1.</w:t>
            </w:r>
            <w:r>
              <w:rPr>
                <w:rFonts w:hint="eastAsia" w:ascii="宋体" w:hAnsi="宋体"/>
                <w:szCs w:val="21"/>
              </w:rPr>
              <w:t>6</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标段划分</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hAnsi="宋体"/>
                <w:spacing w:val="1"/>
                <w:kern w:val="0"/>
              </w:rPr>
            </w:pPr>
            <w:r>
              <w:rPr>
                <w:rFonts w:hint="eastAsia" w:hAnsi="宋体"/>
                <w:spacing w:val="1"/>
                <w:kern w:val="0"/>
                <w:lang w:val="en-US" w:eastAsia="zh-CN"/>
              </w:rPr>
              <w:t>2</w:t>
            </w:r>
            <w:r>
              <w:rPr>
                <w:rFonts w:hint="eastAsia" w:hAnsi="宋体"/>
                <w:spacing w:val="1"/>
                <w:kern w:val="0"/>
              </w:rPr>
              <w:t>个标段；</w:t>
            </w:r>
          </w:p>
        </w:tc>
      </w:tr>
      <w:tr>
        <w:tblPrEx>
          <w:tblCellMar>
            <w:top w:w="0" w:type="dxa"/>
            <w:left w:w="108" w:type="dxa"/>
            <w:bottom w:w="0" w:type="dxa"/>
            <w:right w:w="108" w:type="dxa"/>
          </w:tblCellMar>
        </w:tblPrEx>
        <w:trPr>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1.2.1</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资金来源</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Ansi="宋体"/>
              </w:rPr>
            </w:pPr>
            <w:r>
              <w:rPr>
                <w:rFonts w:hint="eastAsia" w:hAnsi="宋体"/>
              </w:rPr>
              <w:t>财政资金</w:t>
            </w:r>
          </w:p>
        </w:tc>
      </w:tr>
      <w:tr>
        <w:tblPrEx>
          <w:tblCellMar>
            <w:top w:w="0" w:type="dxa"/>
            <w:left w:w="108" w:type="dxa"/>
            <w:bottom w:w="0" w:type="dxa"/>
            <w:right w:w="108" w:type="dxa"/>
          </w:tblCellMar>
        </w:tblPrEx>
        <w:trPr>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1.2.2</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ascii="宋体" w:hAnsi="宋体"/>
                <w:szCs w:val="21"/>
              </w:rPr>
              <w:t>出资比例</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hAnsi="宋体"/>
              </w:rPr>
            </w:pPr>
            <w:r>
              <w:rPr>
                <w:rFonts w:hint="eastAsia" w:hAnsi="宋体"/>
              </w:rPr>
              <w:t>100%</w:t>
            </w:r>
          </w:p>
        </w:tc>
      </w:tr>
      <w:tr>
        <w:tblPrEx>
          <w:tblCellMar>
            <w:top w:w="0" w:type="dxa"/>
            <w:left w:w="108" w:type="dxa"/>
            <w:bottom w:w="0" w:type="dxa"/>
            <w:right w:w="108" w:type="dxa"/>
          </w:tblCellMar>
        </w:tblPrEx>
        <w:trPr>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1.2.3</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资金</w:t>
            </w:r>
            <w:r>
              <w:rPr>
                <w:rFonts w:ascii="宋体" w:hAnsi="宋体"/>
                <w:szCs w:val="21"/>
              </w:rPr>
              <w:t>落实情况</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hAnsi="宋体"/>
              </w:rPr>
            </w:pPr>
            <w:r>
              <w:rPr>
                <w:rFonts w:hint="eastAsia" w:hAnsi="宋体"/>
              </w:rPr>
              <w:t>已落实</w:t>
            </w:r>
          </w:p>
        </w:tc>
      </w:tr>
      <w:tr>
        <w:tblPrEx>
          <w:tblCellMar>
            <w:top w:w="0" w:type="dxa"/>
            <w:left w:w="108" w:type="dxa"/>
            <w:bottom w:w="0" w:type="dxa"/>
            <w:right w:w="108" w:type="dxa"/>
          </w:tblCellMar>
        </w:tblPrEx>
        <w:trPr>
          <w:trHeight w:val="452" w:hRule="atLeast"/>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1.</w:t>
            </w:r>
            <w:r>
              <w:rPr>
                <w:rFonts w:hint="eastAsia" w:ascii="宋体" w:hAnsi="宋体"/>
                <w:szCs w:val="21"/>
              </w:rPr>
              <w:t>3</w:t>
            </w:r>
            <w:r>
              <w:rPr>
                <w:rFonts w:ascii="宋体" w:hAnsi="宋体"/>
                <w:szCs w:val="21"/>
              </w:rPr>
              <w:t>.1</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lang w:val="en-US" w:eastAsia="zh-CN"/>
              </w:rPr>
              <w:t>采购</w:t>
            </w:r>
            <w:r>
              <w:rPr>
                <w:rFonts w:ascii="宋体" w:hAnsi="宋体"/>
                <w:szCs w:val="21"/>
              </w:rPr>
              <w:t>范围</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pacing w:val="1"/>
                <w:kern w:val="0"/>
                <w:szCs w:val="21"/>
              </w:rPr>
            </w:pPr>
            <w:r>
              <w:rPr>
                <w:rFonts w:hint="eastAsia" w:ascii="宋体" w:hAnsi="宋体" w:eastAsia="宋体" w:cs="宋体"/>
                <w:sz w:val="21"/>
                <w:szCs w:val="21"/>
                <w:lang w:val="en-US" w:eastAsia="zh-CN"/>
              </w:rPr>
              <w:t>工程量清单及施工图纸中的全部内容</w:t>
            </w:r>
          </w:p>
        </w:tc>
      </w:tr>
      <w:tr>
        <w:tblPrEx>
          <w:tblCellMar>
            <w:top w:w="0" w:type="dxa"/>
            <w:left w:w="108" w:type="dxa"/>
            <w:bottom w:w="0" w:type="dxa"/>
            <w:right w:w="108" w:type="dxa"/>
          </w:tblCellMar>
        </w:tblPrEx>
        <w:trPr>
          <w:trHeight w:val="530" w:hRule="atLeast"/>
          <w:jc w:val="center"/>
        </w:trPr>
        <w:tc>
          <w:tcPr>
            <w:tcW w:w="1096"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s="Courier New"/>
                <w:szCs w:val="21"/>
              </w:rPr>
            </w:pPr>
            <w:r>
              <w:rPr>
                <w:rFonts w:ascii="宋体" w:hAnsi="宋体" w:cs="Courier New"/>
                <w:szCs w:val="21"/>
              </w:rPr>
              <w:t>1.3.2</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工期</w:t>
            </w:r>
          </w:p>
          <w:p>
            <w:pPr>
              <w:spacing w:line="360" w:lineRule="auto"/>
              <w:jc w:val="center"/>
              <w:rPr>
                <w:rFonts w:hint="eastAsia" w:ascii="宋体" w:hAnsi="宋体"/>
                <w:szCs w:val="21"/>
              </w:rPr>
            </w:pPr>
            <w:r>
              <w:rPr>
                <w:rFonts w:hint="eastAsia" w:ascii="宋体" w:hAnsi="宋体"/>
                <w:szCs w:val="21"/>
                <w:lang w:val="en-US" w:eastAsia="zh-CN"/>
              </w:rPr>
              <w:t>（供货期）</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spacing w:before="67" w:line="360" w:lineRule="auto"/>
              <w:rPr>
                <w:rFonts w:hint="eastAsia" w:ascii="宋体" w:hAnsi="宋体" w:cs="Courier New"/>
                <w:szCs w:val="21"/>
                <w:highlight w:val="none"/>
              </w:rPr>
            </w:pPr>
            <w:r>
              <w:rPr>
                <w:rFonts w:hint="eastAsia" w:ascii="宋体" w:hAnsi="宋体" w:cs="Courier New"/>
                <w:szCs w:val="21"/>
                <w:highlight w:val="none"/>
                <w:lang w:val="en-US" w:eastAsia="zh-CN"/>
              </w:rPr>
              <w:t>180</w:t>
            </w:r>
            <w:r>
              <w:rPr>
                <w:rFonts w:hint="eastAsia" w:ascii="宋体" w:hAnsi="宋体" w:cs="Courier New"/>
                <w:szCs w:val="21"/>
                <w:highlight w:val="none"/>
              </w:rPr>
              <w:t>日历天/标段</w:t>
            </w:r>
          </w:p>
        </w:tc>
      </w:tr>
      <w:tr>
        <w:tblPrEx>
          <w:tblCellMar>
            <w:top w:w="0" w:type="dxa"/>
            <w:left w:w="108" w:type="dxa"/>
            <w:bottom w:w="0" w:type="dxa"/>
            <w:right w:w="108" w:type="dxa"/>
          </w:tblCellMar>
        </w:tblPrEx>
        <w:trPr>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1.3.3</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质量要求</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ascii="宋体" w:hAnsi="宋体"/>
                <w:bCs/>
                <w:szCs w:val="21"/>
              </w:rPr>
              <w:t>合格</w:t>
            </w:r>
          </w:p>
        </w:tc>
      </w:tr>
      <w:tr>
        <w:tblPrEx>
          <w:tblCellMar>
            <w:top w:w="0" w:type="dxa"/>
            <w:left w:w="108" w:type="dxa"/>
            <w:bottom w:w="0" w:type="dxa"/>
            <w:right w:w="108" w:type="dxa"/>
          </w:tblCellMar>
        </w:tblPrEx>
        <w:trPr>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1.3.4</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质保期</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bCs/>
                <w:szCs w:val="21"/>
              </w:rPr>
            </w:pPr>
            <w:r>
              <w:rPr>
                <w:rFonts w:hint="eastAsia" w:ascii="宋体" w:hAnsi="宋体"/>
                <w:bCs/>
                <w:szCs w:val="21"/>
              </w:rPr>
              <w:t>两年</w:t>
            </w:r>
          </w:p>
        </w:tc>
      </w:tr>
      <w:tr>
        <w:tblPrEx>
          <w:tblCellMar>
            <w:top w:w="0" w:type="dxa"/>
            <w:left w:w="108" w:type="dxa"/>
            <w:bottom w:w="0" w:type="dxa"/>
            <w:right w:w="108" w:type="dxa"/>
          </w:tblCellMar>
        </w:tblPrEx>
        <w:trPr>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1.4.1</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szCs w:val="21"/>
              </w:rPr>
            </w:pPr>
            <w:r>
              <w:rPr>
                <w:rFonts w:hint="eastAsia" w:ascii="宋体" w:hAnsi="宋体"/>
                <w:szCs w:val="21"/>
                <w:lang w:val="en-US" w:eastAsia="zh-CN"/>
              </w:rPr>
              <w:t>供应商</w:t>
            </w:r>
            <w:r>
              <w:rPr>
                <w:rFonts w:ascii="宋体" w:hAnsi="宋体"/>
                <w:szCs w:val="21"/>
              </w:rPr>
              <w:t>资质条件、能力和信誉</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rPr>
            </w:pPr>
            <w:r>
              <w:rPr>
                <w:rFonts w:hint="eastAsia"/>
                <w:lang w:eastAsia="zh-CN"/>
              </w:rPr>
              <w:t>详见招标公告“</w:t>
            </w:r>
            <w:r>
              <w:rPr>
                <w:rFonts w:hint="eastAsia"/>
              </w:rPr>
              <w:t>二、申请人的资格要求</w:t>
            </w:r>
            <w:r>
              <w:rPr>
                <w:rFonts w:hint="eastAsia"/>
                <w:lang w:eastAsia="zh-CN"/>
              </w:rPr>
              <w:t>”中涉及本标段的对应资格要求。</w:t>
            </w:r>
          </w:p>
        </w:tc>
      </w:tr>
      <w:tr>
        <w:tblPrEx>
          <w:tblCellMar>
            <w:top w:w="0" w:type="dxa"/>
            <w:left w:w="108" w:type="dxa"/>
            <w:bottom w:w="0" w:type="dxa"/>
            <w:right w:w="108" w:type="dxa"/>
          </w:tblCellMar>
        </w:tblPrEx>
        <w:trPr>
          <w:trHeight w:val="896" w:hRule="atLeast"/>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1.4.2</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是否接受联合体投标</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不接受</w:t>
            </w:r>
          </w:p>
        </w:tc>
      </w:tr>
      <w:tr>
        <w:tblPrEx>
          <w:tblCellMar>
            <w:top w:w="0" w:type="dxa"/>
            <w:left w:w="108" w:type="dxa"/>
            <w:bottom w:w="0" w:type="dxa"/>
            <w:right w:w="108" w:type="dxa"/>
          </w:tblCellMar>
        </w:tblPrEx>
        <w:trPr>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1.</w:t>
            </w:r>
            <w:r>
              <w:rPr>
                <w:rFonts w:hint="eastAsia" w:ascii="宋体" w:hAnsi="宋体"/>
                <w:szCs w:val="21"/>
              </w:rPr>
              <w:t>9</w:t>
            </w:r>
            <w:r>
              <w:rPr>
                <w:rFonts w:ascii="宋体" w:hAnsi="宋体"/>
                <w:szCs w:val="21"/>
              </w:rPr>
              <w:t>.1</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ascii="宋体" w:hAnsi="宋体"/>
                <w:szCs w:val="21"/>
              </w:rPr>
              <w:t>踏勘</w:t>
            </w:r>
            <w:r>
              <w:rPr>
                <w:rFonts w:hint="eastAsia" w:ascii="宋体" w:hAnsi="宋体"/>
                <w:szCs w:val="21"/>
              </w:rPr>
              <w:t>现场</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ascii="宋体" w:hAnsi="宋体"/>
                <w:szCs w:val="21"/>
                <w:lang w:bidi="zh-CN"/>
              </w:rPr>
              <w:t>不统一组织</w:t>
            </w:r>
          </w:p>
        </w:tc>
      </w:tr>
      <w:tr>
        <w:tblPrEx>
          <w:tblCellMar>
            <w:top w:w="0" w:type="dxa"/>
            <w:left w:w="108" w:type="dxa"/>
            <w:bottom w:w="0" w:type="dxa"/>
            <w:right w:w="108" w:type="dxa"/>
          </w:tblCellMar>
        </w:tblPrEx>
        <w:trPr>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1.10.1</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投标预备会</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cs="宋体"/>
                <w:szCs w:val="21"/>
              </w:rPr>
              <w:t>不召开。</w:t>
            </w:r>
          </w:p>
        </w:tc>
      </w:tr>
      <w:tr>
        <w:tblPrEx>
          <w:tblCellMar>
            <w:top w:w="0" w:type="dxa"/>
            <w:left w:w="108" w:type="dxa"/>
            <w:bottom w:w="0" w:type="dxa"/>
            <w:right w:w="108" w:type="dxa"/>
          </w:tblCellMar>
        </w:tblPrEx>
        <w:trPr>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1.10.2</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投标人提出问题的截止时间</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rPr>
                <w:rFonts w:hint="eastAsia" w:ascii="宋体" w:hAnsi="宋体" w:cs="黑体"/>
                <w:kern w:val="0"/>
                <w:szCs w:val="21"/>
              </w:rPr>
            </w:pPr>
            <w:r>
              <w:rPr>
                <w:rFonts w:hint="eastAsia" w:ascii="宋体" w:hAnsi="宋体"/>
                <w:szCs w:val="21"/>
              </w:rPr>
              <w:t>递交投标文件的截止之日</w:t>
            </w:r>
            <w:r>
              <w:rPr>
                <w:rFonts w:hint="eastAsia" w:ascii="宋体" w:hAnsi="宋体"/>
                <w:szCs w:val="21"/>
                <w:lang w:val="en-US" w:eastAsia="zh-CN"/>
              </w:rPr>
              <w:t>5</w:t>
            </w:r>
            <w:r>
              <w:rPr>
                <w:rFonts w:hint="eastAsia" w:ascii="宋体" w:hAnsi="宋体"/>
                <w:szCs w:val="21"/>
              </w:rPr>
              <w:t>日前</w:t>
            </w:r>
          </w:p>
        </w:tc>
      </w:tr>
      <w:tr>
        <w:tblPrEx>
          <w:tblCellMar>
            <w:top w:w="0" w:type="dxa"/>
            <w:left w:w="108" w:type="dxa"/>
            <w:bottom w:w="0" w:type="dxa"/>
            <w:right w:w="108" w:type="dxa"/>
          </w:tblCellMar>
        </w:tblPrEx>
        <w:trPr>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1.10.3</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招标人书面澄清的时间</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rPr>
                <w:rFonts w:hint="eastAsia" w:ascii="宋体" w:hAnsi="宋体" w:cs="黑体"/>
                <w:kern w:val="0"/>
                <w:szCs w:val="21"/>
              </w:rPr>
            </w:pPr>
            <w:r>
              <w:rPr>
                <w:rFonts w:hint="eastAsia" w:ascii="宋体" w:hAnsi="宋体"/>
                <w:szCs w:val="21"/>
              </w:rPr>
              <w:t>递交投标文件的截止之日</w:t>
            </w:r>
            <w:r>
              <w:rPr>
                <w:rFonts w:hint="eastAsia" w:ascii="宋体" w:hAnsi="宋体"/>
                <w:szCs w:val="21"/>
                <w:lang w:val="en-US" w:eastAsia="zh-CN"/>
              </w:rPr>
              <w:t>5</w:t>
            </w:r>
            <w:r>
              <w:rPr>
                <w:rFonts w:hint="eastAsia" w:ascii="宋体" w:hAnsi="宋体"/>
                <w:szCs w:val="21"/>
              </w:rPr>
              <w:t>日前</w:t>
            </w:r>
          </w:p>
        </w:tc>
      </w:tr>
      <w:tr>
        <w:tblPrEx>
          <w:tblCellMar>
            <w:top w:w="0" w:type="dxa"/>
            <w:left w:w="108" w:type="dxa"/>
            <w:bottom w:w="0" w:type="dxa"/>
            <w:right w:w="108" w:type="dxa"/>
          </w:tblCellMar>
        </w:tblPrEx>
        <w:trPr>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ascii="宋体" w:hAnsi="宋体"/>
                <w:szCs w:val="21"/>
              </w:rPr>
              <w:t>1.1</w:t>
            </w:r>
            <w:r>
              <w:rPr>
                <w:rFonts w:hint="eastAsia" w:ascii="宋体" w:hAnsi="宋体"/>
                <w:szCs w:val="21"/>
              </w:rPr>
              <w:t>1</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分包</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不允许分包</w:t>
            </w:r>
          </w:p>
        </w:tc>
      </w:tr>
      <w:tr>
        <w:tblPrEx>
          <w:tblCellMar>
            <w:top w:w="0" w:type="dxa"/>
            <w:left w:w="108" w:type="dxa"/>
            <w:bottom w:w="0" w:type="dxa"/>
            <w:right w:w="108" w:type="dxa"/>
          </w:tblCellMar>
        </w:tblPrEx>
        <w:trPr>
          <w:trHeight w:val="443" w:hRule="atLeast"/>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1.12</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偏离</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rPr>
                <w:rFonts w:hint="eastAsia" w:hAnsi="宋体"/>
                <w:sz w:val="21"/>
                <w:szCs w:val="21"/>
              </w:rPr>
            </w:pPr>
            <w:r>
              <w:rPr>
                <w:rFonts w:hint="eastAsia" w:hAnsi="宋体"/>
                <w:sz w:val="21"/>
                <w:szCs w:val="21"/>
              </w:rPr>
              <w:t>不允许</w:t>
            </w:r>
            <w:r>
              <w:rPr>
                <w:rFonts w:hAnsi="宋体"/>
                <w:sz w:val="21"/>
                <w:szCs w:val="21"/>
                <w:lang w:bidi="zh-CN"/>
              </w:rPr>
              <w:t>负偏离招标文件规定的实质性要求和条件</w:t>
            </w:r>
          </w:p>
        </w:tc>
      </w:tr>
      <w:tr>
        <w:tblPrEx>
          <w:tblCellMar>
            <w:top w:w="0" w:type="dxa"/>
            <w:left w:w="108" w:type="dxa"/>
            <w:bottom w:w="0" w:type="dxa"/>
            <w:right w:w="108" w:type="dxa"/>
          </w:tblCellMar>
        </w:tblPrEx>
        <w:trPr>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2.1</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构成招标文件其他材料</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除招标文件外，图纸、工程量清单、招标控制价，以及招标人在招标期间发出的澄清、修改、补充、补遗和其它有效正式函件等内容均是招标文件的组成部分</w:t>
            </w:r>
          </w:p>
        </w:tc>
      </w:tr>
      <w:tr>
        <w:tblPrEx>
          <w:tblCellMar>
            <w:top w:w="0" w:type="dxa"/>
            <w:left w:w="108" w:type="dxa"/>
            <w:bottom w:w="0" w:type="dxa"/>
            <w:right w:w="108" w:type="dxa"/>
          </w:tblCellMar>
        </w:tblPrEx>
        <w:trPr>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2.2.1</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投标人要求澄清招标文件的截止时间</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cs="宋体"/>
                <w:szCs w:val="21"/>
              </w:rPr>
              <w:t>递交投标文件的截止之日</w:t>
            </w:r>
            <w:r>
              <w:rPr>
                <w:rFonts w:hint="eastAsia" w:ascii="宋体" w:hAnsi="宋体" w:cs="宋体"/>
                <w:szCs w:val="21"/>
                <w:lang w:val="en-US" w:eastAsia="zh-CN"/>
              </w:rPr>
              <w:t>5</w:t>
            </w:r>
            <w:r>
              <w:rPr>
                <w:rFonts w:hint="eastAsia" w:ascii="宋体" w:hAnsi="宋体" w:cs="宋体"/>
                <w:szCs w:val="21"/>
              </w:rPr>
              <w:t>日前</w:t>
            </w:r>
          </w:p>
        </w:tc>
      </w:tr>
      <w:tr>
        <w:tblPrEx>
          <w:tblCellMar>
            <w:top w:w="0" w:type="dxa"/>
            <w:left w:w="108" w:type="dxa"/>
            <w:bottom w:w="0" w:type="dxa"/>
            <w:right w:w="108" w:type="dxa"/>
          </w:tblCellMar>
        </w:tblPrEx>
        <w:trPr>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2.2.2</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投标截止时间</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cs="宋体"/>
                <w:szCs w:val="21"/>
              </w:rPr>
              <w:t>同开标时间</w:t>
            </w:r>
          </w:p>
        </w:tc>
      </w:tr>
      <w:tr>
        <w:tblPrEx>
          <w:tblCellMar>
            <w:top w:w="0" w:type="dxa"/>
            <w:left w:w="108" w:type="dxa"/>
            <w:bottom w:w="0" w:type="dxa"/>
            <w:right w:w="108" w:type="dxa"/>
          </w:tblCellMar>
        </w:tblPrEx>
        <w:trPr>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2.2.3</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投标人确认收到招标文件澄清的时间</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rPr>
                <w:rFonts w:hint="eastAsia" w:ascii="宋体" w:hAnsi="宋体" w:cs="黑体"/>
                <w:kern w:val="0"/>
                <w:szCs w:val="21"/>
              </w:rPr>
            </w:pPr>
            <w:r>
              <w:rPr>
                <w:rFonts w:hint="eastAsia" w:ascii="宋体" w:hAnsi="宋体"/>
                <w:szCs w:val="21"/>
              </w:rPr>
              <w:t>招标文件的补充文件发出之日24小时内</w:t>
            </w:r>
          </w:p>
        </w:tc>
      </w:tr>
      <w:tr>
        <w:tblPrEx>
          <w:tblCellMar>
            <w:top w:w="0" w:type="dxa"/>
            <w:left w:w="108" w:type="dxa"/>
            <w:bottom w:w="0" w:type="dxa"/>
            <w:right w:w="108" w:type="dxa"/>
          </w:tblCellMar>
        </w:tblPrEx>
        <w:trPr>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2.3.2</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投标人确认收到招标文件修改的时间</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rPr>
                <w:rFonts w:hint="eastAsia" w:ascii="宋体" w:hAnsi="宋体" w:cs="黑体"/>
                <w:kern w:val="0"/>
                <w:szCs w:val="21"/>
              </w:rPr>
            </w:pPr>
            <w:r>
              <w:rPr>
                <w:rFonts w:hint="eastAsia" w:ascii="宋体" w:hAnsi="宋体"/>
                <w:szCs w:val="21"/>
              </w:rPr>
              <w:t>招标文件的补充文件发出之日24小时内</w:t>
            </w:r>
          </w:p>
        </w:tc>
      </w:tr>
      <w:tr>
        <w:tblPrEx>
          <w:tblCellMar>
            <w:top w:w="0" w:type="dxa"/>
            <w:left w:w="108" w:type="dxa"/>
            <w:bottom w:w="0" w:type="dxa"/>
            <w:right w:w="108" w:type="dxa"/>
          </w:tblCellMar>
        </w:tblPrEx>
        <w:trPr>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ascii="宋体" w:hAnsi="宋体"/>
                <w:szCs w:val="21"/>
              </w:rPr>
              <w:t>3.1</w:t>
            </w:r>
            <w:r>
              <w:rPr>
                <w:rFonts w:hint="eastAsia" w:ascii="宋体" w:hAnsi="宋体"/>
                <w:szCs w:val="21"/>
              </w:rPr>
              <w:t>.1</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构成投标文件其他材料</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ascii="宋体" w:hAnsi="宋体"/>
                <w:szCs w:val="21"/>
                <w:lang w:bidi="zh-CN"/>
              </w:rPr>
              <w:t>招标文件中要求提交和投标人认为有利于其投标的其他资料</w:t>
            </w:r>
          </w:p>
        </w:tc>
      </w:tr>
      <w:tr>
        <w:tblPrEx>
          <w:tblCellMar>
            <w:top w:w="0" w:type="dxa"/>
            <w:left w:w="108" w:type="dxa"/>
            <w:bottom w:w="0" w:type="dxa"/>
            <w:right w:w="108" w:type="dxa"/>
          </w:tblCellMar>
        </w:tblPrEx>
        <w:trPr>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ascii="宋体" w:hAnsi="宋体"/>
                <w:szCs w:val="21"/>
              </w:rPr>
              <w:t>3.3</w:t>
            </w:r>
            <w:r>
              <w:rPr>
                <w:rFonts w:hint="eastAsia" w:ascii="宋体" w:hAnsi="宋体"/>
                <w:szCs w:val="21"/>
              </w:rPr>
              <w:t>.1</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投标有效期</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rPr>
                <w:rFonts w:hint="eastAsia" w:ascii="宋体" w:hAnsi="宋体" w:cs="黑体"/>
                <w:kern w:val="0"/>
                <w:szCs w:val="21"/>
              </w:rPr>
            </w:pPr>
            <w:r>
              <w:rPr>
                <w:rFonts w:hint="eastAsia" w:ascii="宋体" w:hAnsi="宋体"/>
                <w:szCs w:val="21"/>
              </w:rPr>
              <w:t>60日历天（投标截止之日起）</w:t>
            </w:r>
          </w:p>
        </w:tc>
      </w:tr>
      <w:tr>
        <w:tblPrEx>
          <w:tblCellMar>
            <w:top w:w="0" w:type="dxa"/>
            <w:left w:w="108" w:type="dxa"/>
            <w:bottom w:w="0" w:type="dxa"/>
            <w:right w:w="108" w:type="dxa"/>
          </w:tblCellMar>
        </w:tblPrEx>
        <w:trPr>
          <w:trHeight w:val="520" w:hRule="atLeast"/>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3.4.1</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投标保证金</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rPr>
                <w:rFonts w:hint="eastAsia" w:ascii="宋体" w:hAnsi="宋体" w:cs="仿宋_GB2312"/>
                <w:kern w:val="0"/>
                <w:szCs w:val="21"/>
              </w:rPr>
            </w:pPr>
            <w:r>
              <w:rPr>
                <w:rFonts w:hint="eastAsia" w:ascii="宋体" w:hAnsi="宋体"/>
                <w:szCs w:val="21"/>
                <w:highlight w:val="none"/>
                <w:lang w:val="en-US" w:eastAsia="zh-CN"/>
              </w:rPr>
              <w:t>不收取</w:t>
            </w:r>
          </w:p>
        </w:tc>
      </w:tr>
      <w:tr>
        <w:tblPrEx>
          <w:tblCellMar>
            <w:top w:w="0" w:type="dxa"/>
            <w:left w:w="108" w:type="dxa"/>
            <w:bottom w:w="0" w:type="dxa"/>
            <w:right w:w="108" w:type="dxa"/>
          </w:tblCellMar>
        </w:tblPrEx>
        <w:trPr>
          <w:trHeight w:val="568" w:hRule="atLeast"/>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3.5.</w:t>
            </w:r>
            <w:r>
              <w:rPr>
                <w:rFonts w:hint="eastAsia" w:ascii="宋体" w:hAnsi="宋体"/>
                <w:szCs w:val="21"/>
              </w:rPr>
              <w:t>2</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ascii="宋体" w:hAnsi="宋体"/>
                <w:szCs w:val="21"/>
              </w:rPr>
              <w:t>近年财务状况</w:t>
            </w:r>
            <w:r>
              <w:rPr>
                <w:rFonts w:hint="eastAsia" w:ascii="宋体" w:hAnsi="宋体"/>
                <w:szCs w:val="21"/>
              </w:rPr>
              <w:t>年份要求</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cs="宋体"/>
                <w:szCs w:val="21"/>
              </w:rPr>
              <w:t>202</w:t>
            </w:r>
            <w:r>
              <w:rPr>
                <w:rFonts w:hint="eastAsia" w:ascii="宋体" w:hAnsi="宋体" w:cs="宋体"/>
                <w:szCs w:val="21"/>
                <w:lang w:val="en-US" w:eastAsia="zh-CN"/>
              </w:rPr>
              <w:t>2</w:t>
            </w:r>
            <w:r>
              <w:rPr>
                <w:rFonts w:hint="eastAsia" w:ascii="宋体" w:hAnsi="宋体" w:cs="宋体"/>
                <w:szCs w:val="21"/>
              </w:rPr>
              <w:t>年度（成立时间较短不能提供的，应提交开户银行出具的资信证明）</w:t>
            </w:r>
          </w:p>
        </w:tc>
      </w:tr>
      <w:tr>
        <w:tblPrEx>
          <w:tblCellMar>
            <w:top w:w="0" w:type="dxa"/>
            <w:left w:w="108" w:type="dxa"/>
            <w:bottom w:w="0" w:type="dxa"/>
            <w:right w:w="108" w:type="dxa"/>
          </w:tblCellMar>
        </w:tblPrEx>
        <w:trPr>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3.5.</w:t>
            </w:r>
            <w:r>
              <w:rPr>
                <w:rFonts w:hint="eastAsia" w:ascii="宋体" w:hAnsi="宋体"/>
                <w:szCs w:val="21"/>
              </w:rPr>
              <w:t>3</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行业划分</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default"/>
                <w:lang w:val="en-US" w:eastAsia="zh-CN"/>
              </w:rPr>
            </w:pPr>
            <w:r>
              <w:rPr>
                <w:rFonts w:hint="eastAsia"/>
                <w:lang w:val="en-US" w:eastAsia="zh-CN"/>
              </w:rPr>
              <w:t>第一标段：</w:t>
            </w:r>
            <w:r>
              <w:rPr>
                <w:rFonts w:hint="eastAsia" w:ascii="宋体" w:hAnsi="宋体"/>
                <w:szCs w:val="21"/>
                <w:lang w:val="en-US" w:eastAsia="zh-CN"/>
              </w:rPr>
              <w:t>农、牧、林、渔业</w:t>
            </w:r>
          </w:p>
        </w:tc>
      </w:tr>
      <w:tr>
        <w:tblPrEx>
          <w:tblCellMar>
            <w:top w:w="0" w:type="dxa"/>
            <w:left w:w="108" w:type="dxa"/>
            <w:bottom w:w="0" w:type="dxa"/>
            <w:right w:w="108" w:type="dxa"/>
          </w:tblCellMar>
        </w:tblPrEx>
        <w:trPr>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3.5.</w:t>
            </w:r>
            <w:r>
              <w:rPr>
                <w:rFonts w:hint="eastAsia" w:ascii="宋体" w:hAnsi="宋体"/>
                <w:szCs w:val="21"/>
              </w:rPr>
              <w:t>5</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ascii="宋体" w:hAnsi="宋体"/>
                <w:szCs w:val="21"/>
              </w:rPr>
              <w:t>近年发生的诉讼及仲裁情况</w:t>
            </w:r>
            <w:r>
              <w:rPr>
                <w:rFonts w:hint="eastAsia" w:ascii="宋体" w:hAnsi="宋体"/>
                <w:szCs w:val="21"/>
              </w:rPr>
              <w:t>的年份要求</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年01月01日以来</w:t>
            </w:r>
          </w:p>
        </w:tc>
      </w:tr>
      <w:tr>
        <w:tblPrEx>
          <w:tblCellMar>
            <w:top w:w="0" w:type="dxa"/>
            <w:left w:w="108" w:type="dxa"/>
            <w:bottom w:w="0" w:type="dxa"/>
            <w:right w:w="108" w:type="dxa"/>
          </w:tblCellMar>
        </w:tblPrEx>
        <w:trPr>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3.6</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是否允许</w:t>
            </w:r>
            <w:r>
              <w:rPr>
                <w:rFonts w:hint="eastAsia" w:ascii="宋体" w:hAnsi="宋体"/>
                <w:szCs w:val="21"/>
              </w:rPr>
              <w:t>备</w:t>
            </w:r>
            <w:r>
              <w:rPr>
                <w:rFonts w:ascii="宋体" w:hAnsi="宋体"/>
                <w:szCs w:val="21"/>
              </w:rPr>
              <w:t>选投标方案</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不允许</w:t>
            </w:r>
          </w:p>
        </w:tc>
      </w:tr>
      <w:tr>
        <w:tblPrEx>
          <w:tblCellMar>
            <w:top w:w="0" w:type="dxa"/>
            <w:left w:w="108" w:type="dxa"/>
            <w:bottom w:w="0" w:type="dxa"/>
            <w:right w:w="108" w:type="dxa"/>
          </w:tblCellMar>
        </w:tblPrEx>
        <w:trPr>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3.7.3</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签字或盖章</w:t>
            </w:r>
          </w:p>
          <w:p>
            <w:pPr>
              <w:spacing w:line="360" w:lineRule="auto"/>
              <w:jc w:val="center"/>
              <w:rPr>
                <w:rFonts w:ascii="宋体" w:hAnsi="宋体"/>
                <w:szCs w:val="21"/>
              </w:rPr>
            </w:pPr>
            <w:r>
              <w:rPr>
                <w:rFonts w:ascii="宋体" w:hAnsi="宋体"/>
                <w:szCs w:val="21"/>
              </w:rPr>
              <w:t>要求</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spacing w:line="360" w:lineRule="auto"/>
              <w:rPr>
                <w:rFonts w:hint="eastAsia" w:ascii="宋体" w:hAnsi="宋体"/>
                <w:color w:val="000000"/>
                <w:szCs w:val="21"/>
              </w:rPr>
            </w:pPr>
            <w:r>
              <w:rPr>
                <w:rFonts w:hint="eastAsia" w:ascii="宋体" w:hAnsi="宋体"/>
                <w:color w:val="000000"/>
                <w:szCs w:val="21"/>
              </w:rPr>
              <w:t>注：1、投标人在生成电子化投标文件后，应对电子化投标文件进行签章，未进行签章的视为无效投标。</w:t>
            </w:r>
          </w:p>
          <w:p>
            <w:pPr>
              <w:spacing w:line="360" w:lineRule="auto"/>
              <w:rPr>
                <w:rFonts w:ascii="宋体" w:hAnsi="宋体"/>
                <w:szCs w:val="21"/>
              </w:rPr>
            </w:pPr>
            <w:r>
              <w:rPr>
                <w:rFonts w:hint="eastAsia" w:ascii="宋体" w:hAnsi="宋体"/>
                <w:color w:val="000000"/>
                <w:szCs w:val="21"/>
              </w:rPr>
              <w:t>2、招标文件中要求法定代表人或授权委托人签字或盖章的，投标人在进行电子化投标文件签章时，以签盖法定代表人签章为准。电子化投标文件具体制作教材请投标人通过CA证书登录平顶山市公共资源电子化交易系统在右上角“组建下载”中查看。</w:t>
            </w:r>
          </w:p>
        </w:tc>
      </w:tr>
      <w:tr>
        <w:tblPrEx>
          <w:tblCellMar>
            <w:top w:w="0" w:type="dxa"/>
            <w:left w:w="108" w:type="dxa"/>
            <w:bottom w:w="0" w:type="dxa"/>
            <w:right w:w="108" w:type="dxa"/>
          </w:tblCellMar>
        </w:tblPrEx>
        <w:trPr>
          <w:trHeight w:val="90" w:hRule="atLeast"/>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3.7.4</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电子投标文件的上传</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加密电子投标文件应在采购文件规定的投标截止时间（开标时间）之前成功提交至《全国公共资源交易平台(河南省▪平顶山市)》公共资源交易系统（</w:t>
            </w:r>
            <w:r>
              <w:rPr>
                <w:rFonts w:ascii="宋体" w:hAnsi="宋体"/>
                <w:color w:val="000000"/>
                <w:szCs w:val="21"/>
              </w:rPr>
              <w:fldChar w:fldCharType="begin"/>
            </w:r>
            <w:r>
              <w:rPr>
                <w:rFonts w:ascii="宋体" w:hAnsi="宋体"/>
                <w:color w:val="000000"/>
                <w:szCs w:val="21"/>
              </w:rPr>
              <w:instrText xml:space="preserve"> HYPERLINK "http://221.176.192.166:8080/ggzy登录系统，对" </w:instrText>
            </w:r>
            <w:r>
              <w:rPr>
                <w:rFonts w:ascii="宋体" w:hAnsi="宋体"/>
                <w:color w:val="000000"/>
                <w:szCs w:val="21"/>
              </w:rPr>
              <w:fldChar w:fldCharType="separate"/>
            </w:r>
            <w:r>
              <w:rPr>
                <w:rFonts w:hint="eastAsia" w:ascii="宋体" w:hAnsi="宋体"/>
                <w:szCs w:val="21"/>
              </w:rPr>
              <w:t>http://www.pdsggzy.com/ggzy</w:t>
            </w:r>
            <w:r>
              <w:rPr>
                <w:rFonts w:ascii="宋体" w:hAnsi="宋体"/>
                <w:color w:val="000000"/>
                <w:szCs w:val="21"/>
              </w:rPr>
              <w:fldChar w:fldCharType="end"/>
            </w:r>
            <w:r>
              <w:rPr>
                <w:rFonts w:hint="eastAsia" w:ascii="宋体" w:hAnsi="宋体"/>
                <w:szCs w:val="21"/>
              </w:rPr>
              <w:t>/）。逾期到达交易系统的电子投标文件视为放弃本次投标。投标人应充分考虑并预留技术处理和上传数据所需时间。</w:t>
            </w:r>
          </w:p>
        </w:tc>
      </w:tr>
      <w:tr>
        <w:tblPrEx>
          <w:tblCellMar>
            <w:top w:w="0" w:type="dxa"/>
            <w:left w:w="108" w:type="dxa"/>
            <w:bottom w:w="0" w:type="dxa"/>
            <w:right w:w="108" w:type="dxa"/>
          </w:tblCellMar>
        </w:tblPrEx>
        <w:trPr>
          <w:trHeight w:val="880" w:hRule="atLeast"/>
          <w:jc w:val="center"/>
        </w:trPr>
        <w:tc>
          <w:tcPr>
            <w:tcW w:w="1096"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szCs w:val="21"/>
              </w:rPr>
            </w:pPr>
            <w:r>
              <w:rPr>
                <w:rFonts w:ascii="宋体" w:hAnsi="宋体"/>
                <w:szCs w:val="21"/>
              </w:rPr>
              <w:t>5.1</w:t>
            </w:r>
          </w:p>
        </w:tc>
        <w:tc>
          <w:tcPr>
            <w:tcW w:w="158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szCs w:val="21"/>
                <w:highlight w:val="none"/>
              </w:rPr>
            </w:pPr>
            <w:r>
              <w:rPr>
                <w:rFonts w:hint="eastAsia" w:ascii="宋体" w:hAnsi="宋体"/>
                <w:szCs w:val="21"/>
                <w:highlight w:val="none"/>
              </w:rPr>
              <w:t>开标时间和</w:t>
            </w:r>
          </w:p>
          <w:p>
            <w:pPr>
              <w:spacing w:line="360" w:lineRule="auto"/>
              <w:jc w:val="center"/>
              <w:rPr>
                <w:rFonts w:ascii="宋体" w:hAnsi="宋体"/>
                <w:szCs w:val="21"/>
                <w:highlight w:val="none"/>
              </w:rPr>
            </w:pPr>
            <w:r>
              <w:rPr>
                <w:rFonts w:hint="eastAsia" w:ascii="宋体" w:hAnsi="宋体"/>
                <w:szCs w:val="21"/>
                <w:highlight w:val="none"/>
              </w:rPr>
              <w:t>地点</w:t>
            </w:r>
          </w:p>
        </w:tc>
        <w:tc>
          <w:tcPr>
            <w:tcW w:w="7143" w:type="dxa"/>
            <w:tcBorders>
              <w:top w:val="single" w:color="auto" w:sz="4" w:space="0"/>
              <w:left w:val="single" w:color="auto" w:sz="4" w:space="0"/>
              <w:right w:val="single" w:color="auto" w:sz="4" w:space="0"/>
            </w:tcBorders>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开标时间：202</w:t>
            </w:r>
            <w:r>
              <w:rPr>
                <w:rFonts w:hint="eastAsia" w:ascii="宋体" w:hAnsi="宋体" w:cs="宋体"/>
                <w:szCs w:val="21"/>
                <w:highlight w:val="none"/>
                <w:lang w:val="en-US" w:eastAsia="zh-CN"/>
              </w:rPr>
              <w:t>3</w:t>
            </w:r>
            <w:r>
              <w:rPr>
                <w:rFonts w:hint="eastAsia" w:ascii="宋体" w:hAnsi="宋体" w:cs="宋体"/>
                <w:szCs w:val="21"/>
                <w:highlight w:val="none"/>
              </w:rPr>
              <w:t>年0</w:t>
            </w:r>
            <w:r>
              <w:rPr>
                <w:rFonts w:hint="eastAsia" w:ascii="宋体" w:hAnsi="宋体" w:cs="宋体"/>
                <w:szCs w:val="21"/>
                <w:highlight w:val="none"/>
                <w:lang w:val="en-US" w:eastAsia="zh-CN"/>
              </w:rPr>
              <w:t>9</w:t>
            </w:r>
            <w:r>
              <w:rPr>
                <w:rFonts w:hint="eastAsia" w:ascii="宋体" w:hAnsi="宋体" w:cs="宋体"/>
                <w:szCs w:val="21"/>
                <w:highlight w:val="none"/>
              </w:rPr>
              <w:t>月</w:t>
            </w:r>
            <w:r>
              <w:rPr>
                <w:rFonts w:hint="eastAsia" w:ascii="宋体" w:hAnsi="宋体" w:cs="宋体"/>
                <w:szCs w:val="21"/>
                <w:highlight w:val="none"/>
                <w:lang w:val="en-US" w:eastAsia="zh-CN"/>
              </w:rPr>
              <w:t>22</w:t>
            </w:r>
            <w:r>
              <w:rPr>
                <w:rFonts w:hint="eastAsia" w:ascii="宋体" w:hAnsi="宋体" w:cs="宋体"/>
                <w:szCs w:val="21"/>
                <w:highlight w:val="none"/>
              </w:rPr>
              <w:t>日</w:t>
            </w:r>
            <w:r>
              <w:rPr>
                <w:rFonts w:hint="eastAsia" w:ascii="宋体" w:hAnsi="宋体" w:cs="宋体"/>
                <w:szCs w:val="21"/>
                <w:highlight w:val="none"/>
                <w:lang w:val="en-US" w:eastAsia="zh-CN"/>
              </w:rPr>
              <w:t>09</w:t>
            </w:r>
            <w:r>
              <w:rPr>
                <w:rFonts w:hint="eastAsia" w:ascii="宋体" w:hAnsi="宋体" w:cs="宋体"/>
                <w:szCs w:val="21"/>
                <w:highlight w:val="none"/>
              </w:rPr>
              <w:t>时</w:t>
            </w:r>
            <w:r>
              <w:rPr>
                <w:rFonts w:hint="eastAsia" w:ascii="宋体" w:hAnsi="宋体" w:cs="宋体"/>
                <w:szCs w:val="21"/>
                <w:highlight w:val="none"/>
                <w:lang w:val="en-US" w:eastAsia="zh-CN"/>
              </w:rPr>
              <w:t>00</w:t>
            </w:r>
            <w:r>
              <w:rPr>
                <w:rFonts w:hint="eastAsia" w:ascii="宋体" w:hAnsi="宋体" w:cs="宋体"/>
                <w:szCs w:val="21"/>
                <w:highlight w:val="none"/>
              </w:rPr>
              <w:t>分（北京时间）</w:t>
            </w:r>
          </w:p>
          <w:p>
            <w:pPr>
              <w:spacing w:line="360" w:lineRule="auto"/>
              <w:rPr>
                <w:rFonts w:ascii="宋体" w:hAnsi="宋体" w:cs="宋体"/>
                <w:szCs w:val="21"/>
                <w:highlight w:val="none"/>
              </w:rPr>
            </w:pPr>
            <w:r>
              <w:rPr>
                <w:rFonts w:hint="eastAsia" w:ascii="宋体" w:hAnsi="宋体" w:cs="宋体"/>
                <w:szCs w:val="21"/>
                <w:highlight w:val="none"/>
              </w:rPr>
              <w:t xml:space="preserve">开标地点：《全国公共资源交易平台(河南省▪平顶山市)》公共资源交易系统 </w:t>
            </w:r>
          </w:p>
        </w:tc>
      </w:tr>
      <w:tr>
        <w:tblPrEx>
          <w:tblCellMar>
            <w:top w:w="0" w:type="dxa"/>
            <w:left w:w="108" w:type="dxa"/>
            <w:bottom w:w="0" w:type="dxa"/>
            <w:right w:w="108" w:type="dxa"/>
          </w:tblCellMar>
        </w:tblPrEx>
        <w:trPr>
          <w:trHeight w:val="880" w:hRule="atLeast"/>
          <w:jc w:val="center"/>
        </w:trPr>
        <w:tc>
          <w:tcPr>
            <w:tcW w:w="1096"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5.2</w:t>
            </w:r>
          </w:p>
        </w:tc>
        <w:tc>
          <w:tcPr>
            <w:tcW w:w="158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szCs w:val="21"/>
              </w:rPr>
            </w:pPr>
            <w:r>
              <w:rPr>
                <w:szCs w:val="21"/>
              </w:rPr>
              <w:t>开标程序</w:t>
            </w:r>
          </w:p>
        </w:tc>
        <w:tc>
          <w:tcPr>
            <w:tcW w:w="7143" w:type="dxa"/>
            <w:tcBorders>
              <w:top w:val="single" w:color="auto" w:sz="4" w:space="0"/>
              <w:left w:val="single" w:color="auto" w:sz="4" w:space="0"/>
              <w:right w:val="single" w:color="auto" w:sz="4" w:space="0"/>
            </w:tcBorders>
            <w:noWrap w:val="0"/>
            <w:vAlign w:val="center"/>
          </w:tcPr>
          <w:p>
            <w:pPr>
              <w:wordWrap w:val="0"/>
              <w:spacing w:line="360" w:lineRule="auto"/>
              <w:rPr>
                <w:rFonts w:hint="eastAsia" w:ascii="宋体" w:hAnsi="宋体" w:cs="宋体"/>
                <w:szCs w:val="21"/>
              </w:rPr>
            </w:pPr>
            <w:r>
              <w:rPr>
                <w:rFonts w:hint="eastAsia" w:ascii="宋体" w:hAnsi="宋体" w:cs="宋体"/>
                <w:szCs w:val="21"/>
              </w:rPr>
              <w:t>全面实行在线“不见面”开标，投标人远程在线解密投标文件，不再到开标现场，投标人开标前应仔细阅读《“不见面”开标注意事项及操作流程》及《关于“不见面开标系统”升级的通知》等相关公告。</w:t>
            </w:r>
          </w:p>
        </w:tc>
      </w:tr>
      <w:tr>
        <w:tblPrEx>
          <w:tblCellMar>
            <w:top w:w="0" w:type="dxa"/>
            <w:left w:w="108" w:type="dxa"/>
            <w:bottom w:w="0" w:type="dxa"/>
            <w:right w:w="108" w:type="dxa"/>
          </w:tblCellMar>
        </w:tblPrEx>
        <w:trPr>
          <w:trHeight w:val="880" w:hRule="atLeast"/>
          <w:jc w:val="center"/>
        </w:trPr>
        <w:tc>
          <w:tcPr>
            <w:tcW w:w="1096"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szCs w:val="21"/>
              </w:rPr>
            </w:pPr>
            <w:r>
              <w:rPr>
                <w:rFonts w:ascii="宋体" w:hAnsi="宋体"/>
                <w:szCs w:val="21"/>
              </w:rPr>
              <w:t>6.1.1</w:t>
            </w:r>
          </w:p>
        </w:tc>
        <w:tc>
          <w:tcPr>
            <w:tcW w:w="1580" w:type="dxa"/>
            <w:tcBorders>
              <w:top w:val="single" w:color="auto" w:sz="4" w:space="0"/>
              <w:left w:val="single" w:color="auto" w:sz="4" w:space="0"/>
              <w:right w:val="single" w:color="auto" w:sz="4" w:space="0"/>
            </w:tcBorders>
            <w:noWrap w:val="0"/>
            <w:vAlign w:val="center"/>
          </w:tcPr>
          <w:p>
            <w:pPr>
              <w:spacing w:line="360" w:lineRule="auto"/>
              <w:jc w:val="center"/>
              <w:rPr>
                <w:rFonts w:hint="default" w:ascii="宋体" w:hAnsi="宋体"/>
                <w:szCs w:val="21"/>
                <w:highlight w:val="none"/>
                <w:lang w:val="en-US" w:bidi="zh-CN"/>
              </w:rPr>
            </w:pPr>
            <w:r>
              <w:rPr>
                <w:rFonts w:hint="eastAsia" w:ascii="宋体" w:hAnsi="宋体"/>
                <w:szCs w:val="21"/>
                <w:highlight w:val="none"/>
                <w:lang w:val="en-US" w:bidi="zh-CN"/>
              </w:rPr>
              <w:t>磋商小组</w:t>
            </w:r>
          </w:p>
          <w:p>
            <w:pPr>
              <w:spacing w:line="360" w:lineRule="auto"/>
              <w:jc w:val="center"/>
              <w:rPr>
                <w:rFonts w:ascii="宋体" w:hAnsi="宋体"/>
                <w:szCs w:val="21"/>
                <w:highlight w:val="none"/>
              </w:rPr>
            </w:pPr>
            <w:r>
              <w:rPr>
                <w:rFonts w:hint="eastAsia" w:ascii="宋体" w:hAnsi="宋体"/>
                <w:szCs w:val="21"/>
                <w:highlight w:val="none"/>
                <w:lang w:bidi="zh-CN"/>
              </w:rPr>
              <w:t>的组建</w:t>
            </w:r>
          </w:p>
        </w:tc>
        <w:tc>
          <w:tcPr>
            <w:tcW w:w="7143" w:type="dxa"/>
            <w:tcBorders>
              <w:top w:val="single" w:color="auto" w:sz="4" w:space="0"/>
              <w:left w:val="single" w:color="auto" w:sz="4" w:space="0"/>
              <w:right w:val="single" w:color="auto" w:sz="4" w:space="0"/>
            </w:tcBorders>
            <w:noWrap w:val="0"/>
            <w:vAlign w:val="center"/>
          </w:tcPr>
          <w:p>
            <w:pPr>
              <w:spacing w:line="360" w:lineRule="auto"/>
              <w:rPr>
                <w:rFonts w:hint="eastAsia" w:ascii="宋体" w:hAnsi="宋体"/>
                <w:szCs w:val="21"/>
                <w:highlight w:val="none"/>
              </w:rPr>
            </w:pPr>
            <w:r>
              <w:rPr>
                <w:rFonts w:hint="eastAsia" w:ascii="宋体" w:hAnsi="宋体"/>
                <w:szCs w:val="21"/>
                <w:highlight w:val="none"/>
                <w:lang w:val="en-US" w:eastAsia="zh-CN"/>
              </w:rPr>
              <w:t>磋商小组</w:t>
            </w:r>
            <w:r>
              <w:rPr>
                <w:rFonts w:hint="eastAsia" w:ascii="宋体" w:hAnsi="宋体"/>
                <w:szCs w:val="21"/>
                <w:highlight w:val="none"/>
              </w:rPr>
              <w:t>由有关专家及招标人代表共</w:t>
            </w:r>
            <w:r>
              <w:rPr>
                <w:rFonts w:hint="eastAsia" w:ascii="宋体" w:hAnsi="宋体"/>
                <w:szCs w:val="21"/>
                <w:highlight w:val="none"/>
                <w:lang w:val="en-US" w:eastAsia="zh-CN"/>
              </w:rPr>
              <w:t>3</w:t>
            </w:r>
            <w:r>
              <w:rPr>
                <w:rFonts w:hint="eastAsia" w:ascii="宋体" w:hAnsi="宋体"/>
                <w:szCs w:val="21"/>
                <w:highlight w:val="none"/>
              </w:rPr>
              <w:t>人及</w:t>
            </w:r>
            <w:r>
              <w:rPr>
                <w:rFonts w:hint="eastAsia" w:ascii="宋体" w:hAnsi="宋体"/>
                <w:szCs w:val="21"/>
                <w:highlight w:val="none"/>
                <w:lang w:val="en-US" w:eastAsia="zh-CN"/>
              </w:rPr>
              <w:t>3</w:t>
            </w:r>
            <w:r>
              <w:rPr>
                <w:rFonts w:hint="eastAsia" w:ascii="宋体" w:hAnsi="宋体"/>
                <w:szCs w:val="21"/>
                <w:highlight w:val="none"/>
              </w:rPr>
              <w:t>人以上单数组成。其中评审专家人数不得少于磋商小组成员总数的2/3。</w:t>
            </w:r>
          </w:p>
          <w:p>
            <w:pPr>
              <w:spacing w:line="360" w:lineRule="auto"/>
              <w:rPr>
                <w:rFonts w:hint="eastAsia" w:ascii="宋体" w:hAnsi="宋体"/>
                <w:szCs w:val="21"/>
                <w:highlight w:val="none"/>
              </w:rPr>
            </w:pPr>
            <w:r>
              <w:rPr>
                <w:rFonts w:hint="eastAsia" w:ascii="宋体" w:hAnsi="宋体"/>
                <w:szCs w:val="21"/>
                <w:highlight w:val="none"/>
              </w:rPr>
              <w:t>评标专家确定方式：在专家库中随机抽取产生。</w:t>
            </w:r>
          </w:p>
          <w:p>
            <w:pPr>
              <w:spacing w:line="360" w:lineRule="auto"/>
              <w:rPr>
                <w:rFonts w:hint="eastAsia" w:ascii="宋体" w:hAnsi="宋体"/>
                <w:szCs w:val="21"/>
                <w:highlight w:val="none"/>
              </w:rPr>
            </w:pPr>
            <w:r>
              <w:rPr>
                <w:rFonts w:hint="eastAsia" w:ascii="宋体" w:hAnsi="宋体"/>
                <w:szCs w:val="21"/>
                <w:highlight w:val="none"/>
              </w:rPr>
              <w:t>注：“上述规定为一组评标专家组成方式，根据项目标段数量和评标工作量，可由多组专家完成评审，但一个标段只能由一组专家评审”。</w:t>
            </w:r>
          </w:p>
        </w:tc>
      </w:tr>
      <w:tr>
        <w:tblPrEx>
          <w:tblCellMar>
            <w:top w:w="0" w:type="dxa"/>
            <w:left w:w="108" w:type="dxa"/>
            <w:bottom w:w="0" w:type="dxa"/>
            <w:right w:w="108" w:type="dxa"/>
          </w:tblCellMar>
        </w:tblPrEx>
        <w:trPr>
          <w:trHeight w:val="982" w:hRule="atLeast"/>
          <w:jc w:val="center"/>
        </w:trPr>
        <w:tc>
          <w:tcPr>
            <w:tcW w:w="1096" w:type="dxa"/>
            <w:tcBorders>
              <w:top w:val="single" w:color="auto" w:sz="4" w:space="0"/>
              <w:left w:val="single" w:color="auto" w:sz="4" w:space="0"/>
              <w:right w:val="single" w:color="auto" w:sz="4" w:space="0"/>
            </w:tcBorders>
            <w:noWrap w:val="0"/>
            <w:vAlign w:val="center"/>
          </w:tcPr>
          <w:p>
            <w:pPr>
              <w:spacing w:line="336" w:lineRule="auto"/>
              <w:jc w:val="center"/>
              <w:rPr>
                <w:rFonts w:hint="eastAsia" w:ascii="宋体" w:hAnsi="宋体"/>
                <w:szCs w:val="21"/>
              </w:rPr>
            </w:pPr>
            <w:r>
              <w:rPr>
                <w:rFonts w:ascii="宋体" w:hAnsi="宋体"/>
                <w:szCs w:val="21"/>
              </w:rPr>
              <w:t>7.1</w:t>
            </w:r>
          </w:p>
        </w:tc>
        <w:tc>
          <w:tcPr>
            <w:tcW w:w="1580" w:type="dxa"/>
            <w:tcBorders>
              <w:top w:val="single" w:color="auto" w:sz="4" w:space="0"/>
              <w:left w:val="single" w:color="auto" w:sz="4" w:space="0"/>
              <w:right w:val="single" w:color="auto" w:sz="4" w:space="0"/>
            </w:tcBorders>
            <w:noWrap w:val="0"/>
            <w:vAlign w:val="center"/>
          </w:tcPr>
          <w:p>
            <w:pPr>
              <w:spacing w:line="336" w:lineRule="auto"/>
              <w:jc w:val="center"/>
              <w:rPr>
                <w:rFonts w:ascii="宋体" w:hAnsi="宋体"/>
                <w:sz w:val="21"/>
                <w:szCs w:val="21"/>
              </w:rPr>
            </w:pPr>
            <w:r>
              <w:rPr>
                <w:rFonts w:hint="eastAsia" w:ascii="宋体" w:hAnsi="宋体"/>
                <w:sz w:val="21"/>
                <w:szCs w:val="21"/>
              </w:rPr>
              <w:t>是否授权</w:t>
            </w:r>
            <w:r>
              <w:rPr>
                <w:rFonts w:hint="eastAsia" w:ascii="宋体" w:hAnsi="宋体"/>
                <w:sz w:val="21"/>
                <w:szCs w:val="21"/>
                <w:lang w:val="en-US" w:bidi="zh-CN"/>
              </w:rPr>
              <w:t>磋商小组</w:t>
            </w:r>
            <w:r>
              <w:rPr>
                <w:rFonts w:hint="eastAsia" w:ascii="宋体" w:hAnsi="宋体"/>
                <w:sz w:val="21"/>
                <w:szCs w:val="21"/>
              </w:rPr>
              <w:t>确定中标人</w:t>
            </w:r>
          </w:p>
        </w:tc>
        <w:tc>
          <w:tcPr>
            <w:tcW w:w="7143" w:type="dxa"/>
            <w:tcBorders>
              <w:top w:val="single" w:color="auto" w:sz="4" w:space="0"/>
              <w:left w:val="single" w:color="auto" w:sz="4" w:space="0"/>
              <w:right w:val="single" w:color="auto" w:sz="4" w:space="0"/>
            </w:tcBorders>
            <w:noWrap w:val="0"/>
            <w:vAlign w:val="center"/>
          </w:tcPr>
          <w:p>
            <w:pPr>
              <w:spacing w:line="360" w:lineRule="auto"/>
              <w:ind w:left="850" w:leftChars="48" w:hanging="749" w:hangingChars="357"/>
              <w:jc w:val="both"/>
              <w:rPr>
                <w:rFonts w:hint="eastAsia"/>
                <w:sz w:val="21"/>
                <w:szCs w:val="21"/>
              </w:rPr>
            </w:pPr>
            <w:r>
              <w:rPr>
                <w:rFonts w:hint="eastAsia"/>
                <w:sz w:val="21"/>
                <w:szCs w:val="21"/>
              </w:rPr>
              <w:t>否，</w:t>
            </w:r>
            <w:r>
              <w:rPr>
                <w:sz w:val="21"/>
                <w:szCs w:val="21"/>
              </w:rPr>
              <w:t>推荐的中标候选人数</w:t>
            </w:r>
            <w:r>
              <w:rPr>
                <w:rFonts w:hint="eastAsia"/>
                <w:sz w:val="21"/>
                <w:szCs w:val="21"/>
              </w:rPr>
              <w:t>：</w:t>
            </w:r>
            <w:r>
              <w:rPr>
                <w:rFonts w:hint="eastAsia"/>
                <w:sz w:val="21"/>
                <w:szCs w:val="21"/>
                <w:lang w:val="en-US" w:eastAsia="zh-CN"/>
              </w:rPr>
              <w:t>1-</w:t>
            </w:r>
            <w:r>
              <w:rPr>
                <w:rFonts w:hint="eastAsia"/>
                <w:sz w:val="21"/>
                <w:szCs w:val="21"/>
              </w:rPr>
              <w:t>3名</w:t>
            </w:r>
          </w:p>
          <w:p>
            <w:pPr>
              <w:spacing w:line="360" w:lineRule="auto"/>
              <w:jc w:val="both"/>
              <w:rPr>
                <w:rFonts w:hint="eastAsia"/>
                <w:sz w:val="21"/>
                <w:szCs w:val="21"/>
              </w:rPr>
            </w:pPr>
            <w:r>
              <w:rPr>
                <w:rFonts w:hint="eastAsia"/>
                <w:sz w:val="21"/>
                <w:szCs w:val="21"/>
              </w:rPr>
              <w:t>以综合评分得分由高到低的顺序推荐1-3名中标候选人，排名第一的中标候选人放弃中标、因不可抗力提出不能履行合同，或者磋商文件规定应当提交合同履约保证金而在规定的期限内未能提交的，采购人可以确定第二中标候选人为中标人（或者重新招标）；依次类推。当所有中标候选人因上述同样原因不能签订合同的，采购人将依法重新招标。</w:t>
            </w:r>
          </w:p>
        </w:tc>
      </w:tr>
      <w:tr>
        <w:tblPrEx>
          <w:tblCellMar>
            <w:top w:w="0" w:type="dxa"/>
            <w:left w:w="108" w:type="dxa"/>
            <w:bottom w:w="0" w:type="dxa"/>
            <w:right w:w="108" w:type="dxa"/>
          </w:tblCellMar>
        </w:tblPrEx>
        <w:trPr>
          <w:trHeight w:val="713" w:hRule="atLeast"/>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7.3.1</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szCs w:val="21"/>
                <w:highlight w:val="none"/>
                <w:lang w:val="en-US" w:eastAsia="zh-CN"/>
              </w:rPr>
            </w:pPr>
            <w:r>
              <w:rPr>
                <w:rFonts w:ascii="宋体" w:hAnsi="宋体"/>
                <w:szCs w:val="21"/>
                <w:highlight w:val="none"/>
              </w:rPr>
              <w:t>履约</w:t>
            </w:r>
            <w:r>
              <w:rPr>
                <w:rFonts w:hint="eastAsia" w:ascii="宋体" w:hAnsi="宋体"/>
                <w:szCs w:val="21"/>
                <w:highlight w:val="none"/>
                <w:lang w:val="en-US" w:eastAsia="zh-CN"/>
              </w:rPr>
              <w:t>保证金</w:t>
            </w:r>
          </w:p>
        </w:tc>
        <w:tc>
          <w:tcPr>
            <w:tcW w:w="714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textAlignment w:val="baseline"/>
              <w:rPr>
                <w:rFonts w:hint="eastAsia" w:ascii="宋体" w:hAnsi="宋体" w:eastAsia="宋体"/>
                <w:szCs w:val="21"/>
                <w:highlight w:val="none"/>
                <w:lang w:val="en-US" w:eastAsia="zh-CN"/>
              </w:rPr>
            </w:pPr>
            <w:r>
              <w:rPr>
                <w:rFonts w:hint="eastAsia" w:ascii="宋体" w:hAnsi="宋体"/>
                <w:szCs w:val="21"/>
                <w:highlight w:val="none"/>
                <w:lang w:val="en-US" w:eastAsia="zh-CN"/>
              </w:rPr>
              <w:t>不收取</w:t>
            </w:r>
          </w:p>
        </w:tc>
      </w:tr>
      <w:tr>
        <w:tblPrEx>
          <w:tblCellMar>
            <w:top w:w="0" w:type="dxa"/>
            <w:left w:w="0" w:type="dxa"/>
            <w:bottom w:w="0" w:type="dxa"/>
            <w:right w:w="0" w:type="dxa"/>
          </w:tblCellMar>
        </w:tblPrEx>
        <w:trPr>
          <w:trHeight w:val="375" w:hRule="atLeast"/>
          <w:jc w:val="center"/>
        </w:trPr>
        <w:tc>
          <w:tcPr>
            <w:tcW w:w="10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ind w:right="35"/>
              <w:jc w:val="center"/>
              <w:rPr>
                <w:rFonts w:hint="eastAsia" w:ascii="宋体" w:hAnsi="宋体"/>
                <w:spacing w:val="1"/>
                <w:kern w:val="0"/>
                <w:szCs w:val="21"/>
              </w:rPr>
            </w:pPr>
            <w:r>
              <w:rPr>
                <w:rFonts w:hint="eastAsia" w:ascii="宋体" w:hAnsi="宋体"/>
                <w:b/>
                <w:szCs w:val="21"/>
              </w:rPr>
              <w:t>10</w:t>
            </w:r>
          </w:p>
        </w:tc>
        <w:tc>
          <w:tcPr>
            <w:tcW w:w="872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szCs w:val="21"/>
              </w:rPr>
            </w:pPr>
            <w:r>
              <w:rPr>
                <w:rFonts w:hint="eastAsia" w:ascii="宋体" w:hAnsi="宋体"/>
                <w:b/>
                <w:szCs w:val="21"/>
              </w:rPr>
              <w:t>需要</w:t>
            </w:r>
            <w:r>
              <w:rPr>
                <w:rFonts w:ascii="宋体" w:hAnsi="宋体"/>
                <w:b/>
                <w:szCs w:val="21"/>
              </w:rPr>
              <w:t>补充</w:t>
            </w:r>
            <w:r>
              <w:rPr>
                <w:rFonts w:hint="eastAsia" w:ascii="宋体" w:hAnsi="宋体"/>
                <w:b/>
                <w:szCs w:val="21"/>
              </w:rPr>
              <w:t>的其他</w:t>
            </w:r>
            <w:r>
              <w:rPr>
                <w:rFonts w:ascii="宋体" w:hAnsi="宋体"/>
                <w:b/>
                <w:szCs w:val="21"/>
              </w:rPr>
              <w:t>内容</w:t>
            </w:r>
          </w:p>
        </w:tc>
      </w:tr>
      <w:tr>
        <w:tblPrEx>
          <w:tblCellMar>
            <w:top w:w="0" w:type="dxa"/>
            <w:left w:w="0" w:type="dxa"/>
            <w:bottom w:w="0" w:type="dxa"/>
            <w:right w:w="0" w:type="dxa"/>
          </w:tblCellMar>
        </w:tblPrEx>
        <w:trPr>
          <w:trHeight w:val="375" w:hRule="atLeast"/>
          <w:jc w:val="center"/>
        </w:trPr>
        <w:tc>
          <w:tcPr>
            <w:tcW w:w="109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szCs w:val="21"/>
              </w:rPr>
            </w:pPr>
            <w:r>
              <w:rPr>
                <w:rFonts w:hint="eastAsia" w:ascii="宋体" w:hAnsi="宋体"/>
                <w:szCs w:val="21"/>
              </w:rPr>
              <w:t>（1）</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采购限价</w:t>
            </w:r>
          </w:p>
        </w:tc>
        <w:tc>
          <w:tcPr>
            <w:tcW w:w="714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57" w:right="57"/>
              <w:rPr>
                <w:rFonts w:hint="eastAsia" w:ascii="宋体" w:hAnsi="宋体"/>
                <w:szCs w:val="21"/>
                <w:highlight w:val="none"/>
              </w:rPr>
            </w:pPr>
            <w:r>
              <w:rPr>
                <w:rFonts w:hint="eastAsia" w:ascii="宋体" w:hAnsi="宋体"/>
                <w:color w:val="auto"/>
                <w:szCs w:val="21"/>
                <w:highlight w:val="none"/>
              </w:rPr>
              <w:t>第一标段：</w:t>
            </w:r>
            <w:r>
              <w:rPr>
                <w:rFonts w:hint="eastAsia" w:ascii="宋体" w:hAnsi="宋体"/>
                <w:color w:val="auto"/>
                <w:szCs w:val="21"/>
                <w:highlight w:val="none"/>
                <w:lang w:val="en-US" w:eastAsia="zh-CN"/>
              </w:rPr>
              <w:t>719400</w:t>
            </w:r>
            <w:r>
              <w:rPr>
                <w:rFonts w:hint="eastAsia" w:ascii="宋体" w:hAnsi="宋体"/>
                <w:color w:val="auto"/>
                <w:szCs w:val="21"/>
                <w:highlight w:val="none"/>
              </w:rPr>
              <w:t>元；</w:t>
            </w:r>
          </w:p>
        </w:tc>
      </w:tr>
      <w:tr>
        <w:tblPrEx>
          <w:tblCellMar>
            <w:top w:w="0" w:type="dxa"/>
            <w:left w:w="0" w:type="dxa"/>
            <w:bottom w:w="0" w:type="dxa"/>
            <w:right w:w="0" w:type="dxa"/>
          </w:tblCellMar>
        </w:tblPrEx>
        <w:trPr>
          <w:trHeight w:val="375" w:hRule="atLeast"/>
          <w:jc w:val="center"/>
        </w:trPr>
        <w:tc>
          <w:tcPr>
            <w:tcW w:w="109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szCs w:val="21"/>
              </w:rPr>
            </w:pPr>
            <w:r>
              <w:rPr>
                <w:rFonts w:hint="eastAsia" w:ascii="宋体" w:hAnsi="宋体"/>
                <w:szCs w:val="21"/>
              </w:rPr>
              <w:t>（2）</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szCs w:val="21"/>
                <w:lang w:eastAsia="zh-CN"/>
              </w:rPr>
            </w:pPr>
            <w:r>
              <w:rPr>
                <w:rFonts w:ascii="宋体" w:hAnsi="宋体"/>
                <w:szCs w:val="21"/>
              </w:rPr>
              <w:t>对成交</w:t>
            </w:r>
            <w:r>
              <w:rPr>
                <w:rFonts w:hint="eastAsia" w:ascii="宋体" w:hAnsi="宋体"/>
                <w:szCs w:val="21"/>
                <w:lang w:val="en-US" w:eastAsia="zh-CN"/>
              </w:rPr>
              <w:t>供应商</w:t>
            </w:r>
          </w:p>
          <w:p>
            <w:pPr>
              <w:spacing w:line="360" w:lineRule="auto"/>
              <w:jc w:val="center"/>
              <w:rPr>
                <w:rFonts w:ascii="宋体" w:hAnsi="宋体"/>
                <w:szCs w:val="21"/>
              </w:rPr>
            </w:pPr>
            <w:r>
              <w:rPr>
                <w:rFonts w:ascii="宋体" w:hAnsi="宋体"/>
                <w:szCs w:val="21"/>
              </w:rPr>
              <w:t>的要求</w:t>
            </w:r>
          </w:p>
        </w:tc>
        <w:tc>
          <w:tcPr>
            <w:tcW w:w="714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57" w:right="57"/>
              <w:rPr>
                <w:rFonts w:ascii="宋体" w:hAnsi="宋体"/>
                <w:szCs w:val="21"/>
              </w:rPr>
            </w:pPr>
            <w:r>
              <w:rPr>
                <w:rFonts w:ascii="宋体" w:hAnsi="宋体"/>
                <w:szCs w:val="21"/>
              </w:rPr>
              <w:t>本工程采取总承包方式（包工包料，包工期，包质量，包安全），成交</w:t>
            </w:r>
            <w:r>
              <w:rPr>
                <w:rFonts w:hint="eastAsia" w:ascii="宋体" w:hAnsi="宋体"/>
                <w:szCs w:val="21"/>
              </w:rPr>
              <w:t>投标人</w:t>
            </w:r>
            <w:r>
              <w:rPr>
                <w:rFonts w:ascii="宋体" w:hAnsi="宋体"/>
                <w:szCs w:val="21"/>
              </w:rPr>
              <w:t>即本工程的总承包人；承包人不得以任何形式转包、分包给其他人。如发现有</w:t>
            </w:r>
            <w:r>
              <w:rPr>
                <w:rFonts w:hint="eastAsia" w:ascii="宋体" w:hAnsi="宋体"/>
                <w:szCs w:val="21"/>
              </w:rPr>
              <w:t>违法</w:t>
            </w:r>
            <w:r>
              <w:rPr>
                <w:rFonts w:ascii="宋体" w:hAnsi="宋体"/>
                <w:szCs w:val="21"/>
              </w:rPr>
              <w:t>转包、分包现象或承包人用临时拼凑的工程队伍进行施工的情况，采购人有权立即终止施工合同，停止支付所有工程款并没收其全部履约保证金，由此造成的一切经济损失和名誉损失，由承包人负责赔偿。</w:t>
            </w:r>
          </w:p>
        </w:tc>
      </w:tr>
      <w:tr>
        <w:tblPrEx>
          <w:tblCellMar>
            <w:top w:w="0" w:type="dxa"/>
            <w:left w:w="0" w:type="dxa"/>
            <w:bottom w:w="0" w:type="dxa"/>
            <w:right w:w="0" w:type="dxa"/>
          </w:tblCellMar>
        </w:tblPrEx>
        <w:trPr>
          <w:trHeight w:val="375" w:hRule="atLeast"/>
          <w:jc w:val="center"/>
        </w:trPr>
        <w:tc>
          <w:tcPr>
            <w:tcW w:w="109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szCs w:val="21"/>
              </w:rPr>
            </w:pPr>
            <w:r>
              <w:rPr>
                <w:rFonts w:hint="eastAsia" w:ascii="宋体" w:hAnsi="宋体"/>
                <w:szCs w:val="21"/>
              </w:rPr>
              <w:t>（3）</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kern w:val="2"/>
                <w:sz w:val="21"/>
                <w:szCs w:val="18"/>
                <w:lang w:val="en-US" w:eastAsia="zh-CN" w:bidi="ar-SA"/>
              </w:rPr>
            </w:pPr>
            <w:r>
              <w:rPr>
                <w:rFonts w:hint="eastAsia" w:ascii="宋体" w:hAnsi="宋体" w:cs="宋体"/>
                <w:sz w:val="21"/>
                <w:szCs w:val="18"/>
              </w:rPr>
              <w:t>其他注意事项</w:t>
            </w:r>
          </w:p>
        </w:tc>
        <w:tc>
          <w:tcPr>
            <w:tcW w:w="714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s="宋体"/>
                <w:sz w:val="21"/>
                <w:szCs w:val="18"/>
              </w:rPr>
            </w:pPr>
            <w:r>
              <w:rPr>
                <w:rFonts w:hint="eastAsia" w:ascii="宋体" w:hAnsi="宋体" w:cs="宋体"/>
                <w:sz w:val="21"/>
                <w:szCs w:val="18"/>
              </w:rPr>
              <w:t>参与同一个标段(包)的供应商存在下列情形之一的，其投标(响应)文件无效:</w:t>
            </w:r>
          </w:p>
          <w:p>
            <w:pPr>
              <w:spacing w:line="360" w:lineRule="auto"/>
              <w:rPr>
                <w:rFonts w:ascii="宋体" w:hAnsi="宋体" w:cs="宋体"/>
                <w:sz w:val="21"/>
                <w:szCs w:val="18"/>
              </w:rPr>
            </w:pPr>
            <w:r>
              <w:rPr>
                <w:rFonts w:hint="eastAsia" w:ascii="宋体" w:hAnsi="宋体" w:cs="宋体"/>
                <w:sz w:val="21"/>
                <w:szCs w:val="18"/>
              </w:rPr>
              <w:t>(一)不同供应商的电子投标(响应)文件上传计算机的网卡MAC地址、CPU序列号和硬盘序列号等硬件信息相同的:</w:t>
            </w:r>
          </w:p>
          <w:p>
            <w:pPr>
              <w:spacing w:line="360" w:lineRule="auto"/>
              <w:rPr>
                <w:rFonts w:ascii="宋体" w:hAnsi="宋体" w:cs="宋体"/>
                <w:sz w:val="21"/>
                <w:szCs w:val="18"/>
              </w:rPr>
            </w:pPr>
            <w:r>
              <w:rPr>
                <w:rFonts w:hint="eastAsia" w:ascii="宋体" w:hAnsi="宋体" w:cs="宋体"/>
                <w:sz w:val="21"/>
                <w:szCs w:val="18"/>
              </w:rPr>
              <w:t>(二)不同供应商的投标(响应)文件由同一电子设备编制、打印加密或者上传;</w:t>
            </w:r>
          </w:p>
          <w:p>
            <w:pPr>
              <w:spacing w:line="360" w:lineRule="auto"/>
              <w:rPr>
                <w:rFonts w:ascii="宋体" w:hAnsi="宋体" w:cs="宋体"/>
                <w:sz w:val="21"/>
                <w:szCs w:val="18"/>
              </w:rPr>
            </w:pPr>
            <w:r>
              <w:rPr>
                <w:rFonts w:hint="eastAsia" w:ascii="宋体" w:hAnsi="宋体" w:cs="宋体"/>
                <w:sz w:val="21"/>
                <w:szCs w:val="18"/>
              </w:rPr>
              <w:t>(三)不同供应商的投标(响应)文件由同一电子设备打印、复印;</w:t>
            </w:r>
          </w:p>
          <w:p>
            <w:pPr>
              <w:spacing w:line="360" w:lineRule="auto"/>
              <w:rPr>
                <w:rFonts w:ascii="宋体" w:hAnsi="宋体" w:cs="宋体"/>
                <w:sz w:val="21"/>
                <w:szCs w:val="18"/>
              </w:rPr>
            </w:pPr>
            <w:r>
              <w:rPr>
                <w:rFonts w:hint="eastAsia" w:ascii="宋体" w:hAnsi="宋体" w:cs="宋体"/>
                <w:sz w:val="21"/>
                <w:szCs w:val="18"/>
              </w:rPr>
              <w:t>(四)不同供应商的投标(响应)文件由同一人送达或者分发，或者不同供应商联系人为同一人或不同联系人的联系电话一致的;</w:t>
            </w:r>
          </w:p>
          <w:p>
            <w:pPr>
              <w:spacing w:line="360" w:lineRule="auto"/>
              <w:rPr>
                <w:rFonts w:ascii="宋体" w:hAnsi="宋体" w:cs="宋体"/>
                <w:sz w:val="21"/>
                <w:szCs w:val="18"/>
              </w:rPr>
            </w:pPr>
            <w:r>
              <w:rPr>
                <w:rFonts w:hint="eastAsia" w:ascii="宋体" w:hAnsi="宋体" w:cs="宋体"/>
                <w:sz w:val="21"/>
                <w:szCs w:val="18"/>
              </w:rPr>
              <w:t>(五)不同供应商的投标(响应)文件的内容存在两处以上细节错误一致;</w:t>
            </w:r>
          </w:p>
          <w:p>
            <w:pPr>
              <w:spacing w:line="360" w:lineRule="auto"/>
              <w:rPr>
                <w:rFonts w:ascii="宋体" w:hAnsi="宋体" w:cs="宋体"/>
                <w:sz w:val="21"/>
                <w:szCs w:val="18"/>
              </w:rPr>
            </w:pPr>
            <w:r>
              <w:rPr>
                <w:rFonts w:hint="eastAsia" w:ascii="宋体" w:hAnsi="宋体" w:cs="宋体"/>
                <w:sz w:val="21"/>
                <w:szCs w:val="18"/>
              </w:rPr>
              <w:t>(六)不同供应商的法定代表人、委托代理人、项目经理、项目负责人等由同一个单位缴纳社会保险或者领取报酬的;</w:t>
            </w:r>
          </w:p>
          <w:p>
            <w:pPr>
              <w:spacing w:line="360" w:lineRule="auto"/>
              <w:rPr>
                <w:rFonts w:ascii="宋体" w:hAnsi="宋体" w:cs="宋体"/>
                <w:sz w:val="21"/>
                <w:szCs w:val="18"/>
              </w:rPr>
            </w:pPr>
            <w:r>
              <w:rPr>
                <w:rFonts w:hint="eastAsia" w:ascii="宋体" w:hAnsi="宋体" w:cs="宋体"/>
                <w:sz w:val="21"/>
                <w:szCs w:val="18"/>
              </w:rPr>
              <w:t>(七)不同供应商投标(响应)文件中法定代表人或者负责人签字出自同一人之手;</w:t>
            </w:r>
          </w:p>
          <w:p>
            <w:pPr>
              <w:spacing w:line="360" w:lineRule="auto"/>
              <w:rPr>
                <w:rFonts w:ascii="宋体" w:hAnsi="宋体" w:eastAsia="宋体" w:cs="宋体"/>
                <w:kern w:val="2"/>
                <w:sz w:val="21"/>
                <w:szCs w:val="18"/>
                <w:lang w:val="en-US" w:eastAsia="zh-CN" w:bidi="ar-SA"/>
              </w:rPr>
            </w:pPr>
            <w:r>
              <w:rPr>
                <w:rFonts w:hint="eastAsia" w:ascii="宋体" w:hAnsi="宋体" w:cs="宋体"/>
                <w:sz w:val="21"/>
                <w:szCs w:val="18"/>
              </w:rPr>
              <w:t>(八)其它涉嫌串通的情形。</w:t>
            </w:r>
          </w:p>
        </w:tc>
      </w:tr>
      <w:tr>
        <w:tblPrEx>
          <w:tblCellMar>
            <w:top w:w="0" w:type="dxa"/>
            <w:left w:w="0" w:type="dxa"/>
            <w:bottom w:w="0" w:type="dxa"/>
            <w:right w:w="0" w:type="dxa"/>
          </w:tblCellMar>
        </w:tblPrEx>
        <w:trPr>
          <w:trHeight w:val="375" w:hRule="atLeast"/>
          <w:jc w:val="center"/>
        </w:trPr>
        <w:tc>
          <w:tcPr>
            <w:tcW w:w="109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szCs w:val="21"/>
              </w:rPr>
            </w:pPr>
            <w:r>
              <w:rPr>
                <w:rFonts w:hint="eastAsia" w:ascii="宋体" w:hAnsi="宋体"/>
                <w:szCs w:val="21"/>
              </w:rPr>
              <w:t>其它内容</w:t>
            </w:r>
          </w:p>
        </w:tc>
        <w:tc>
          <w:tcPr>
            <w:tcW w:w="714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right="57"/>
              <w:rPr>
                <w:rFonts w:hint="eastAsia"/>
              </w:rPr>
            </w:pPr>
            <w:r>
              <w:rPr>
                <w:rFonts w:hint="eastAsia"/>
                <w:lang w:val="en-US" w:eastAsia="zh-CN"/>
              </w:rPr>
              <w:t>采购</w:t>
            </w:r>
            <w:r>
              <w:rPr>
                <w:rFonts w:hint="eastAsia"/>
              </w:rPr>
              <w:t>代理服务费由中标人支付，在领取中标通知书时参考</w:t>
            </w:r>
            <w:r>
              <w:rPr>
                <w:rFonts w:hint="eastAsia"/>
                <w:lang w:eastAsia="zh-CN"/>
              </w:rPr>
              <w:t>“</w:t>
            </w:r>
            <w:r>
              <w:rPr>
                <w:rFonts w:hint="eastAsia"/>
              </w:rPr>
              <w:t>发改价格【2015】299号文及</w:t>
            </w:r>
            <w:r>
              <w:rPr>
                <w:rFonts w:hint="eastAsia"/>
                <w:lang w:val="zh-CN"/>
              </w:rPr>
              <w:t>豫招协【2023】002号</w:t>
            </w:r>
            <w:r>
              <w:rPr>
                <w:rFonts w:hint="eastAsia"/>
                <w:lang w:eastAsia="zh-CN"/>
              </w:rPr>
              <w:t>”</w:t>
            </w:r>
            <w:r>
              <w:rPr>
                <w:rFonts w:hint="eastAsia"/>
              </w:rPr>
              <w:t>文件规定收取缴纳招标代理费。</w:t>
            </w:r>
          </w:p>
          <w:p>
            <w:pPr>
              <w:pStyle w:val="2"/>
            </w:pPr>
            <w:r>
              <w:drawing>
                <wp:inline distT="0" distB="0" distL="114300" distR="114300">
                  <wp:extent cx="4072890" cy="3215005"/>
                  <wp:effectExtent l="0" t="0" r="3810"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4072890" cy="3215005"/>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375" w:hRule="atLeast"/>
          <w:jc w:val="center"/>
        </w:trPr>
        <w:tc>
          <w:tcPr>
            <w:tcW w:w="109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szCs w:val="21"/>
              </w:rPr>
            </w:pPr>
            <w:bookmarkStart w:id="59" w:name="_Toc152042305"/>
            <w:bookmarkStart w:id="60" w:name="_Toc144974497"/>
            <w:bookmarkStart w:id="61" w:name="_Toc152045529"/>
            <w:r>
              <w:rPr>
                <w:rFonts w:hint="eastAsia" w:ascii="宋体" w:hAnsi="宋体"/>
                <w:szCs w:val="21"/>
              </w:rPr>
              <w:t>（</w:t>
            </w:r>
            <w:r>
              <w:rPr>
                <w:rFonts w:hint="eastAsia" w:ascii="宋体" w:hAnsi="宋体"/>
                <w:szCs w:val="21"/>
                <w:lang w:val="en-US" w:eastAsia="zh-CN"/>
              </w:rPr>
              <w:t>5</w:t>
            </w:r>
            <w:r>
              <w:rPr>
                <w:rFonts w:hint="eastAsia" w:ascii="宋体" w:hAnsi="宋体"/>
                <w:szCs w:val="21"/>
              </w:rPr>
              <w:t>）</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kern w:val="0"/>
                <w:sz w:val="21"/>
                <w:szCs w:val="18"/>
                <w:lang w:val="en-US" w:eastAsia="zh-CN" w:bidi="ar-SA"/>
              </w:rPr>
            </w:pPr>
            <w:r>
              <w:rPr>
                <w:rFonts w:hint="eastAsia" w:ascii="宋体" w:hAnsi="宋体" w:cs="宋体"/>
                <w:sz w:val="21"/>
                <w:szCs w:val="18"/>
              </w:rPr>
              <w:t>电子化投标注意事项（请认真阅读）</w:t>
            </w:r>
          </w:p>
        </w:tc>
        <w:tc>
          <w:tcPr>
            <w:tcW w:w="714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15" w:firstLineChars="150"/>
              <w:rPr>
                <w:rFonts w:ascii="宋体" w:hAnsi="宋体" w:cs="宋体"/>
                <w:sz w:val="21"/>
                <w:szCs w:val="18"/>
              </w:rPr>
            </w:pPr>
            <w:r>
              <w:rPr>
                <w:rFonts w:hint="eastAsia" w:ascii="宋体" w:hAnsi="宋体" w:cs="宋体"/>
                <w:sz w:val="21"/>
                <w:szCs w:val="18"/>
              </w:rPr>
              <w:t>本项目实行全流程电子化投标。</w:t>
            </w:r>
          </w:p>
          <w:p>
            <w:pPr>
              <w:spacing w:line="360" w:lineRule="auto"/>
              <w:ind w:firstLine="315" w:firstLineChars="150"/>
              <w:rPr>
                <w:rFonts w:ascii="宋体" w:hAnsi="宋体" w:cs="宋体"/>
                <w:sz w:val="21"/>
                <w:szCs w:val="18"/>
              </w:rPr>
            </w:pPr>
            <w:r>
              <w:rPr>
                <w:rFonts w:hint="eastAsia" w:ascii="宋体" w:hAnsi="宋体" w:cs="宋体"/>
                <w:sz w:val="21"/>
                <w:szCs w:val="18"/>
              </w:rPr>
              <w:t>电子化交易项目投标文件是供应商通过中心投标文件制作系统制作，并经过签章和加密后生成的电子版投标文件。（电子化投标文件具体制作教材请供应商通过CA证书登录公共资源电子化交易系统在右上角“组件下载”中查看）制作电子化投标文件，需仔细阅读以下条款。</w:t>
            </w:r>
          </w:p>
          <w:p>
            <w:pPr>
              <w:spacing w:line="360" w:lineRule="auto"/>
              <w:rPr>
                <w:rFonts w:ascii="宋体" w:hAnsi="宋体" w:cs="宋体"/>
                <w:sz w:val="21"/>
                <w:szCs w:val="18"/>
              </w:rPr>
            </w:pPr>
            <w:r>
              <w:rPr>
                <w:rFonts w:hint="eastAsia" w:ascii="宋体" w:hAnsi="宋体" w:cs="宋体"/>
                <w:sz w:val="21"/>
                <w:szCs w:val="18"/>
              </w:rPr>
              <w:t>一、电子化投标</w:t>
            </w:r>
          </w:p>
          <w:p>
            <w:pPr>
              <w:spacing w:line="360" w:lineRule="auto"/>
              <w:rPr>
                <w:rFonts w:ascii="宋体" w:hAnsi="宋体" w:cs="宋体"/>
                <w:sz w:val="21"/>
                <w:szCs w:val="18"/>
              </w:rPr>
            </w:pPr>
            <w:r>
              <w:rPr>
                <w:rFonts w:hint="eastAsia" w:ascii="宋体" w:hAnsi="宋体" w:cs="宋体"/>
                <w:sz w:val="21"/>
                <w:szCs w:val="18"/>
              </w:rPr>
              <w:t>（一）网上投标保证金的缴纳</w:t>
            </w:r>
          </w:p>
          <w:p>
            <w:pPr>
              <w:spacing w:line="360" w:lineRule="auto"/>
              <w:rPr>
                <w:rFonts w:ascii="宋体" w:hAnsi="宋体" w:cs="宋体"/>
                <w:sz w:val="21"/>
                <w:szCs w:val="18"/>
              </w:rPr>
            </w:pPr>
            <w:r>
              <w:rPr>
                <w:rFonts w:hint="eastAsia" w:ascii="宋体" w:hAnsi="宋体" w:cs="宋体"/>
                <w:sz w:val="21"/>
                <w:szCs w:val="18"/>
              </w:rPr>
              <w:t>（二）电子化投标文件的签章</w:t>
            </w:r>
          </w:p>
          <w:p>
            <w:pPr>
              <w:spacing w:line="360" w:lineRule="auto"/>
              <w:rPr>
                <w:rFonts w:ascii="宋体" w:hAnsi="宋体" w:cs="宋体"/>
                <w:sz w:val="21"/>
                <w:szCs w:val="18"/>
              </w:rPr>
            </w:pPr>
            <w:r>
              <w:rPr>
                <w:rFonts w:hint="eastAsia" w:ascii="宋体" w:hAnsi="宋体" w:cs="宋体"/>
                <w:sz w:val="21"/>
                <w:szCs w:val="18"/>
              </w:rPr>
              <w:t>1、供应商在生成电子化投标文件后，应对电子化投标文件进行签章，未进行签章的视为无效投标。</w:t>
            </w:r>
          </w:p>
          <w:p>
            <w:pPr>
              <w:spacing w:line="360" w:lineRule="auto"/>
              <w:rPr>
                <w:rFonts w:ascii="宋体" w:hAnsi="宋体" w:cs="宋体"/>
                <w:sz w:val="21"/>
                <w:szCs w:val="18"/>
              </w:rPr>
            </w:pPr>
            <w:r>
              <w:rPr>
                <w:rFonts w:hint="eastAsia" w:ascii="宋体" w:hAnsi="宋体" w:cs="宋体"/>
                <w:sz w:val="21"/>
                <w:szCs w:val="18"/>
              </w:rPr>
              <w:t>2、磋商文件中要求法定代表人或授权委托人电子签章的，供应商在进行电子化投标文件签章时，以签盖法定代表人签章为准。电子化投标文件具体制作教材请供应商通过CA证书登录平顶山市公共资源电子化交易系统在右上角“组建下载”中查看。</w:t>
            </w:r>
          </w:p>
          <w:p>
            <w:pPr>
              <w:spacing w:line="360" w:lineRule="auto"/>
              <w:rPr>
                <w:rFonts w:ascii="宋体" w:hAnsi="宋体" w:cs="宋体"/>
                <w:sz w:val="21"/>
                <w:szCs w:val="18"/>
              </w:rPr>
            </w:pPr>
            <w:r>
              <w:rPr>
                <w:rFonts w:hint="eastAsia" w:ascii="宋体" w:hAnsi="宋体" w:cs="宋体"/>
                <w:sz w:val="21"/>
                <w:szCs w:val="18"/>
              </w:rPr>
              <w:t>（三）电子化投标文件的格式及上传投标</w:t>
            </w:r>
          </w:p>
          <w:p>
            <w:pPr>
              <w:spacing w:line="360" w:lineRule="auto"/>
              <w:rPr>
                <w:rFonts w:ascii="宋体" w:hAnsi="宋体" w:cs="宋体"/>
                <w:sz w:val="21"/>
                <w:szCs w:val="18"/>
              </w:rPr>
            </w:pPr>
            <w:r>
              <w:rPr>
                <w:rFonts w:hint="eastAsia" w:ascii="宋体" w:hAnsi="宋体" w:cs="宋体"/>
                <w:sz w:val="21"/>
                <w:szCs w:val="18"/>
              </w:rPr>
              <w:t>1、供应商所上传的电子化投标文件，应是通过中心投标文件制作系统制作的，经过签章和加密后生成的电子版投标文件。生成的电子版投标文件包含用于投标文件上传的主文件（项目文件格式为：xxx公司_ 项目名称.file）和用于应急补救的投标文件备份文件（项目文件格式为：xxx公司_ 项目名称.bin），备份文件主要用于电子化开标出现技术问题后的补救，请供应商随身携带。</w:t>
            </w:r>
          </w:p>
          <w:p>
            <w:pPr>
              <w:spacing w:line="360" w:lineRule="auto"/>
              <w:rPr>
                <w:rFonts w:ascii="宋体" w:hAnsi="宋体" w:cs="宋体"/>
                <w:b/>
                <w:bCs/>
                <w:sz w:val="21"/>
                <w:szCs w:val="18"/>
              </w:rPr>
            </w:pPr>
            <w:r>
              <w:rPr>
                <w:rFonts w:hint="eastAsia" w:ascii="宋体" w:hAnsi="宋体" w:cs="宋体"/>
                <w:b/>
                <w:bCs/>
                <w:sz w:val="21"/>
                <w:szCs w:val="18"/>
              </w:rPr>
              <w:t>注：供应商投报多个标段的，根据标段制作各个标段的投标文件后上传</w:t>
            </w:r>
          </w:p>
          <w:p>
            <w:pPr>
              <w:spacing w:line="360" w:lineRule="auto"/>
              <w:rPr>
                <w:rFonts w:ascii="宋体" w:hAnsi="宋体" w:cs="宋体"/>
                <w:sz w:val="21"/>
                <w:szCs w:val="18"/>
              </w:rPr>
            </w:pPr>
            <w:r>
              <w:rPr>
                <w:rFonts w:hint="eastAsia" w:ascii="宋体" w:hAnsi="宋体" w:cs="宋体"/>
                <w:sz w:val="21"/>
                <w:szCs w:val="18"/>
              </w:rPr>
              <w:t>2、电子化投标文件应在投标截止时间前成功上传至平顶山市公共资源电子化交易系统。至投标截止时间止，仍未上传成功的电子化投标文件将不予接收。</w:t>
            </w:r>
          </w:p>
          <w:p>
            <w:pPr>
              <w:spacing w:line="360" w:lineRule="auto"/>
              <w:rPr>
                <w:rFonts w:ascii="宋体" w:hAnsi="宋体" w:cs="宋体"/>
                <w:b/>
                <w:bCs/>
                <w:sz w:val="21"/>
                <w:szCs w:val="18"/>
              </w:rPr>
            </w:pPr>
            <w:r>
              <w:rPr>
                <w:rFonts w:hint="eastAsia" w:ascii="宋体" w:hAnsi="宋体" w:cs="宋体"/>
                <w:b/>
                <w:bCs/>
                <w:sz w:val="21"/>
                <w:szCs w:val="18"/>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pPr>
              <w:spacing w:line="360" w:lineRule="auto"/>
              <w:rPr>
                <w:rFonts w:ascii="宋体" w:hAnsi="宋体" w:cs="宋体"/>
                <w:sz w:val="21"/>
                <w:szCs w:val="18"/>
              </w:rPr>
            </w:pPr>
            <w:r>
              <w:rPr>
                <w:rFonts w:hint="eastAsia" w:ascii="宋体" w:hAnsi="宋体" w:cs="宋体"/>
                <w:sz w:val="21"/>
                <w:szCs w:val="18"/>
              </w:rPr>
              <w:t>（四）电子化项目开标、解密、唱标、评标</w:t>
            </w:r>
          </w:p>
          <w:p>
            <w:pPr>
              <w:spacing w:line="360" w:lineRule="auto"/>
              <w:rPr>
                <w:rFonts w:ascii="宋体" w:hAnsi="宋体" w:cs="宋体"/>
                <w:sz w:val="21"/>
                <w:szCs w:val="18"/>
              </w:rPr>
            </w:pPr>
            <w:r>
              <w:rPr>
                <w:rFonts w:hint="eastAsia" w:ascii="宋体" w:hAnsi="宋体" w:cs="宋体"/>
                <w:sz w:val="21"/>
                <w:szCs w:val="18"/>
              </w:rPr>
              <w:t>1、电子化投标文件采用双重加密方式。开标时，首先由供应商使用CA证书，在规定时间内对其电子化投标文件进行首次解密，供应商解密完成后，再由中介服务机构使用CA证书对投标文件进行再次解密。</w:t>
            </w:r>
          </w:p>
          <w:p>
            <w:pPr>
              <w:spacing w:line="360" w:lineRule="auto"/>
              <w:rPr>
                <w:rFonts w:ascii="宋体" w:hAnsi="宋体" w:cs="宋体"/>
                <w:sz w:val="21"/>
                <w:szCs w:val="18"/>
              </w:rPr>
            </w:pPr>
            <w:r>
              <w:rPr>
                <w:rFonts w:hint="eastAsia" w:ascii="宋体" w:hAnsi="宋体" w:cs="宋体"/>
                <w:sz w:val="21"/>
                <w:szCs w:val="18"/>
              </w:rPr>
              <w:t>2、电子化投标文件解密异常的处理</w:t>
            </w:r>
          </w:p>
          <w:p>
            <w:pPr>
              <w:spacing w:line="360" w:lineRule="auto"/>
              <w:rPr>
                <w:rFonts w:ascii="宋体" w:hAnsi="宋体" w:cs="宋体"/>
                <w:sz w:val="21"/>
                <w:szCs w:val="18"/>
              </w:rPr>
            </w:pPr>
            <w:r>
              <w:rPr>
                <w:rFonts w:hint="eastAsia" w:ascii="宋体" w:hAnsi="宋体" w:cs="宋体"/>
                <w:sz w:val="21"/>
                <w:szCs w:val="18"/>
              </w:rPr>
              <w:t>如出现供应商的电子投标文件无法解密的情况，供应商应及时联系中介服务机构说明。投标文件解密异常，按以下步骤进行处理：</w:t>
            </w:r>
          </w:p>
          <w:p>
            <w:pPr>
              <w:spacing w:line="360" w:lineRule="auto"/>
              <w:rPr>
                <w:rFonts w:ascii="宋体" w:hAnsi="宋体" w:cs="宋体"/>
                <w:sz w:val="21"/>
                <w:szCs w:val="18"/>
              </w:rPr>
            </w:pPr>
            <w:r>
              <w:rPr>
                <w:rFonts w:hint="eastAsia" w:ascii="宋体" w:hAnsi="宋体" w:cs="宋体"/>
                <w:sz w:val="21"/>
                <w:szCs w:val="18"/>
              </w:rPr>
              <w:t>（1）首先由技术人员进行问题排查。</w:t>
            </w:r>
          </w:p>
          <w:p>
            <w:pPr>
              <w:spacing w:line="360" w:lineRule="auto"/>
              <w:rPr>
                <w:rFonts w:ascii="宋体" w:hAnsi="宋体" w:cs="宋体"/>
                <w:sz w:val="21"/>
                <w:szCs w:val="18"/>
              </w:rPr>
            </w:pPr>
            <w:r>
              <w:rPr>
                <w:rFonts w:hint="eastAsia" w:ascii="宋体" w:hAnsi="宋体" w:cs="宋体"/>
                <w:sz w:val="21"/>
                <w:szCs w:val="18"/>
              </w:rPr>
              <w:t>（2）经技术人员排查后，是供应商文件自身问题导致投标文件无法解密的，该投标文件将不予接收、解密和唱标，开标会议继续进行。</w:t>
            </w:r>
          </w:p>
          <w:p>
            <w:pPr>
              <w:spacing w:line="360" w:lineRule="auto"/>
              <w:rPr>
                <w:rFonts w:ascii="宋体" w:hAnsi="宋体" w:cs="宋体"/>
                <w:sz w:val="21"/>
                <w:szCs w:val="18"/>
              </w:rPr>
            </w:pPr>
            <w:r>
              <w:rPr>
                <w:rFonts w:hint="eastAsia" w:ascii="宋体" w:hAnsi="宋体" w:cs="宋体"/>
                <w:sz w:val="21"/>
                <w:szCs w:val="18"/>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spacing w:line="360" w:lineRule="auto"/>
              <w:rPr>
                <w:rFonts w:ascii="宋体" w:hAnsi="宋体" w:cs="宋体"/>
                <w:sz w:val="21"/>
                <w:szCs w:val="18"/>
              </w:rPr>
            </w:pPr>
            <w:r>
              <w:rPr>
                <w:rFonts w:hint="eastAsia" w:ascii="宋体" w:hAnsi="宋体" w:cs="宋体"/>
                <w:sz w:val="21"/>
                <w:szCs w:val="18"/>
              </w:rPr>
              <w:t>3、待所有供应商投标文件解密完成后，由中介服务机构操作，对所有已解密投标文件进行唱标。</w:t>
            </w:r>
          </w:p>
          <w:p>
            <w:pPr>
              <w:spacing w:line="360" w:lineRule="auto"/>
              <w:rPr>
                <w:rFonts w:ascii="宋体" w:hAnsi="宋体" w:cs="宋体"/>
                <w:sz w:val="21"/>
                <w:szCs w:val="18"/>
              </w:rPr>
            </w:pPr>
            <w:r>
              <w:rPr>
                <w:rFonts w:hint="eastAsia" w:ascii="宋体" w:hAnsi="宋体" w:cs="宋体"/>
                <w:sz w:val="21"/>
                <w:szCs w:val="18"/>
              </w:rPr>
              <w:t>4、评标时，磋商小组对电子化投标文件有质疑的，将通过电子化交易系统对供应商发起质疑。质疑回复内容确认后，供应商的回复文件必须以经过供应商和其法定代表人签章的PDF格式文件为准，并通过电子化交易系统提交至磋商小组。</w:t>
            </w:r>
          </w:p>
          <w:p>
            <w:pPr>
              <w:spacing w:line="360" w:lineRule="auto"/>
              <w:rPr>
                <w:rFonts w:ascii="宋体" w:hAnsi="宋体" w:cs="宋体"/>
                <w:sz w:val="21"/>
                <w:szCs w:val="18"/>
              </w:rPr>
            </w:pPr>
            <w:r>
              <w:rPr>
                <w:rFonts w:hint="eastAsia" w:ascii="宋体" w:hAnsi="宋体" w:cs="宋体"/>
                <w:sz w:val="21"/>
                <w:szCs w:val="18"/>
              </w:rPr>
              <w:t>5、如磋商小组对需要回复的供应商回复内容有异议的，经过几次回复仍不清楚的，需在监督下进行免提电话进行质疑。</w:t>
            </w:r>
          </w:p>
          <w:p>
            <w:pPr>
              <w:widowControl/>
              <w:adjustRightInd w:val="0"/>
              <w:snapToGrid w:val="0"/>
              <w:spacing w:line="360" w:lineRule="auto"/>
              <w:rPr>
                <w:rFonts w:hint="eastAsia" w:ascii="宋体" w:hAnsi="宋体" w:eastAsia="宋体" w:cs="Times New Roman"/>
                <w:kern w:val="2"/>
                <w:sz w:val="21"/>
                <w:szCs w:val="18"/>
                <w:lang w:val="en-US" w:eastAsia="zh-CN" w:bidi="ar-SA"/>
              </w:rPr>
            </w:pPr>
            <w:r>
              <w:rPr>
                <w:rFonts w:hint="eastAsia" w:ascii="宋体" w:hAnsi="宋体" w:cs="宋体"/>
                <w:sz w:val="21"/>
                <w:szCs w:val="18"/>
              </w:rPr>
              <w:t>6、评标时如因系统异常、停电、电脑病毒、网络堵塞等原因无法正常进行的，由技术人员排查解决，短时间无法解决的，经监督部门同意后，暂停评标活动，待问题解决后继续评标。</w:t>
            </w:r>
          </w:p>
        </w:tc>
      </w:tr>
      <w:tr>
        <w:tblPrEx>
          <w:tblCellMar>
            <w:top w:w="0" w:type="dxa"/>
            <w:left w:w="0" w:type="dxa"/>
            <w:bottom w:w="0" w:type="dxa"/>
            <w:right w:w="0" w:type="dxa"/>
          </w:tblCellMar>
        </w:tblPrEx>
        <w:trPr>
          <w:trHeight w:val="375" w:hRule="atLeast"/>
          <w:jc w:val="center"/>
        </w:trPr>
        <w:tc>
          <w:tcPr>
            <w:tcW w:w="109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1"/>
                <w:szCs w:val="21"/>
              </w:rPr>
            </w:pPr>
            <w:r>
              <w:rPr>
                <w:rFonts w:hint="eastAsia" w:ascii="宋体" w:hAnsi="宋体" w:cs="宋体"/>
                <w:sz w:val="21"/>
                <w:szCs w:val="21"/>
              </w:rPr>
              <w:t>政采领域优化营商环境相关政策</w:t>
            </w:r>
          </w:p>
        </w:tc>
        <w:tc>
          <w:tcPr>
            <w:tcW w:w="714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15" w:firstLineChars="150"/>
              <w:rPr>
                <w:rFonts w:ascii="宋体" w:hAnsi="宋体" w:cs="宋体"/>
                <w:sz w:val="21"/>
                <w:szCs w:val="21"/>
              </w:rPr>
            </w:pPr>
            <w:r>
              <w:rPr>
                <w:rFonts w:hint="eastAsia" w:ascii="宋体" w:hAnsi="宋体" w:cs="宋体"/>
                <w:sz w:val="21"/>
                <w:szCs w:val="21"/>
              </w:rPr>
              <w:t>一、落实四个“一日办”精神：</w:t>
            </w:r>
          </w:p>
          <w:p>
            <w:pPr>
              <w:spacing w:line="360" w:lineRule="auto"/>
              <w:ind w:firstLine="315" w:firstLineChars="150"/>
              <w:rPr>
                <w:rFonts w:ascii="宋体" w:hAnsi="宋体" w:cs="宋体"/>
                <w:sz w:val="21"/>
                <w:szCs w:val="21"/>
              </w:rPr>
            </w:pPr>
            <w:r>
              <w:rPr>
                <w:rFonts w:hint="eastAsia" w:ascii="宋体" w:hAnsi="宋体" w:cs="宋体"/>
                <w:sz w:val="21"/>
                <w:szCs w:val="21"/>
              </w:rPr>
              <w:t>按照《平顶山市财政局关于压减政府采购各环节时限 进一步优化政府采购营商环境的通知》（平财购〔2021〕34号）通知，落实四个“一日办”精神：</w:t>
            </w:r>
          </w:p>
          <w:p>
            <w:pPr>
              <w:spacing w:line="360" w:lineRule="auto"/>
              <w:ind w:firstLine="315" w:firstLineChars="150"/>
              <w:rPr>
                <w:rFonts w:ascii="宋体" w:hAnsi="宋体" w:cs="宋体"/>
                <w:sz w:val="21"/>
                <w:szCs w:val="21"/>
              </w:rPr>
            </w:pPr>
            <w:r>
              <w:rPr>
                <w:rFonts w:hint="eastAsia" w:ascii="宋体" w:hAnsi="宋体" w:cs="宋体"/>
                <w:sz w:val="21"/>
                <w:szCs w:val="21"/>
              </w:rPr>
              <w:t>（1）在评审结束后1日内确定采购结果，同时对中标单位发出中标或成交通知书，并在网上进行公告；</w:t>
            </w:r>
          </w:p>
          <w:p>
            <w:pPr>
              <w:spacing w:line="360" w:lineRule="auto"/>
              <w:ind w:firstLine="315" w:firstLineChars="150"/>
              <w:rPr>
                <w:rFonts w:ascii="宋体" w:hAnsi="宋体" w:cs="宋体"/>
                <w:sz w:val="21"/>
                <w:szCs w:val="21"/>
              </w:rPr>
            </w:pPr>
            <w:r>
              <w:rPr>
                <w:rFonts w:hint="eastAsia" w:ascii="宋体" w:hAnsi="宋体" w:cs="宋体"/>
                <w:sz w:val="21"/>
                <w:szCs w:val="21"/>
              </w:rPr>
              <w:t>（2）中标或成交通知书发出后，1日内与中标或成交供应商签订合同，合同签订当日完成合同备案工作；</w:t>
            </w:r>
          </w:p>
          <w:p>
            <w:pPr>
              <w:spacing w:line="360" w:lineRule="auto"/>
              <w:ind w:firstLine="315" w:firstLineChars="150"/>
              <w:rPr>
                <w:rFonts w:ascii="宋体" w:hAnsi="宋体" w:cs="宋体"/>
                <w:sz w:val="21"/>
                <w:szCs w:val="21"/>
              </w:rPr>
            </w:pPr>
            <w:r>
              <w:rPr>
                <w:rFonts w:hint="eastAsia" w:ascii="宋体" w:hAnsi="宋体" w:cs="宋体"/>
                <w:sz w:val="21"/>
                <w:szCs w:val="21"/>
              </w:rPr>
              <w:t>（3）政府采购项目供应商履约完成后，采购人应在供应商提出验收申请1个工作日内完成验收，同时在平顶山市政府采购网发布验收结果公告；</w:t>
            </w:r>
          </w:p>
          <w:p>
            <w:pPr>
              <w:spacing w:line="360" w:lineRule="auto"/>
              <w:ind w:firstLine="315" w:firstLineChars="150"/>
              <w:rPr>
                <w:rFonts w:ascii="宋体" w:hAnsi="宋体" w:cs="宋体"/>
                <w:sz w:val="21"/>
                <w:szCs w:val="21"/>
              </w:rPr>
            </w:pPr>
            <w:r>
              <w:rPr>
                <w:rFonts w:hint="eastAsia" w:ascii="宋体" w:hAnsi="宋体" w:cs="宋体"/>
                <w:sz w:val="21"/>
                <w:szCs w:val="21"/>
              </w:rPr>
              <w:t>（4）验收合格具备付款条件的项目，采购人要在1个工作日内按照合同约定支付项目资金。</w:t>
            </w:r>
          </w:p>
          <w:p>
            <w:pPr>
              <w:spacing w:line="360" w:lineRule="auto"/>
              <w:ind w:firstLine="315" w:firstLineChars="150"/>
              <w:rPr>
                <w:rFonts w:ascii="宋体" w:hAnsi="宋体" w:cs="宋体"/>
                <w:sz w:val="21"/>
                <w:szCs w:val="21"/>
              </w:rPr>
            </w:pPr>
            <w:r>
              <w:rPr>
                <w:rFonts w:hint="eastAsia" w:ascii="宋体" w:hAnsi="宋体" w:cs="宋体"/>
                <w:sz w:val="21"/>
                <w:szCs w:val="21"/>
              </w:rPr>
              <w:t>注：签合同需法定代表人携带本人身份证（如为授权委托人，则携带法定代表人授权委托书及本人身份证）、单位公章、合同纸质版本一式六份及合同电子版。</w:t>
            </w:r>
          </w:p>
          <w:p>
            <w:pPr>
              <w:spacing w:line="360" w:lineRule="auto"/>
              <w:ind w:firstLine="315" w:firstLineChars="150"/>
              <w:rPr>
                <w:rFonts w:ascii="宋体" w:hAnsi="宋体" w:cs="宋体"/>
                <w:sz w:val="21"/>
                <w:szCs w:val="21"/>
              </w:rPr>
            </w:pPr>
            <w:r>
              <w:rPr>
                <w:rFonts w:hint="eastAsia" w:ascii="宋体" w:hAnsi="宋体" w:cs="宋体"/>
                <w:sz w:val="21"/>
                <w:szCs w:val="21"/>
              </w:rPr>
              <w:t>二、维护企业在政府采购活动中的知情权</w:t>
            </w:r>
          </w:p>
          <w:p>
            <w:pPr>
              <w:spacing w:line="360" w:lineRule="auto"/>
              <w:ind w:firstLine="315" w:firstLineChars="150"/>
              <w:rPr>
                <w:rFonts w:ascii="宋体" w:hAnsi="宋体" w:cs="宋体"/>
                <w:sz w:val="21"/>
                <w:szCs w:val="21"/>
              </w:rPr>
            </w:pPr>
            <w:r>
              <w:rPr>
                <w:rFonts w:hint="eastAsia" w:ascii="宋体" w:hAnsi="宋体" w:cs="宋体"/>
                <w:sz w:val="21"/>
                <w:szCs w:val="21"/>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pPr>
              <w:spacing w:line="360" w:lineRule="auto"/>
              <w:ind w:firstLine="315" w:firstLineChars="150"/>
              <w:rPr>
                <w:rFonts w:ascii="宋体" w:hAnsi="宋体" w:cs="宋体"/>
                <w:sz w:val="21"/>
                <w:szCs w:val="21"/>
              </w:rPr>
            </w:pPr>
            <w:r>
              <w:rPr>
                <w:rFonts w:hint="eastAsia" w:ascii="宋体" w:hAnsi="宋体" w:cs="宋体"/>
                <w:sz w:val="21"/>
                <w:szCs w:val="21"/>
              </w:rPr>
              <w:t>三、提供中小企业声明函格式</w:t>
            </w:r>
          </w:p>
          <w:p>
            <w:pPr>
              <w:spacing w:line="360" w:lineRule="auto"/>
              <w:ind w:firstLine="315" w:firstLineChars="150"/>
              <w:rPr>
                <w:rFonts w:ascii="宋体" w:hAnsi="宋体" w:cs="宋体"/>
                <w:sz w:val="21"/>
                <w:szCs w:val="21"/>
              </w:rPr>
            </w:pPr>
            <w:r>
              <w:rPr>
                <w:rFonts w:hint="eastAsia" w:ascii="宋体" w:hAnsi="宋体" w:cs="宋体"/>
                <w:sz w:val="21"/>
                <w:szCs w:val="21"/>
              </w:rPr>
              <w:t>在采购文件中，采购代理机构应按照财政部、工信部印发的《政府采购促进中小企业发展管理办法》的通知精神（财库〔2020〕46号）提供中小企业声明函格式。</w:t>
            </w:r>
          </w:p>
          <w:p>
            <w:pPr>
              <w:spacing w:line="360" w:lineRule="auto"/>
              <w:ind w:firstLine="315" w:firstLineChars="150"/>
              <w:rPr>
                <w:rFonts w:ascii="宋体" w:hAnsi="宋体" w:cs="宋体"/>
                <w:sz w:val="21"/>
                <w:szCs w:val="21"/>
              </w:rPr>
            </w:pPr>
            <w:r>
              <w:rPr>
                <w:rFonts w:hint="eastAsia" w:ascii="宋体" w:hAnsi="宋体" w:cs="宋体"/>
                <w:sz w:val="21"/>
                <w:szCs w:val="21"/>
              </w:rPr>
              <w:t>四、推广政府采购合同融资</w:t>
            </w:r>
          </w:p>
          <w:p>
            <w:pPr>
              <w:spacing w:line="360" w:lineRule="auto"/>
              <w:ind w:firstLine="315" w:firstLineChars="150"/>
              <w:rPr>
                <w:rFonts w:ascii="宋体" w:hAnsi="宋体" w:cs="宋体"/>
                <w:sz w:val="21"/>
                <w:szCs w:val="21"/>
              </w:rPr>
            </w:pPr>
            <w:r>
              <w:rPr>
                <w:rFonts w:hint="eastAsia" w:ascii="宋体" w:hAnsi="宋体" w:cs="宋体"/>
                <w:sz w:val="21"/>
                <w:szCs w:val="21"/>
              </w:rPr>
              <w:t>要求采购人和代理机构将“政府采购合同融资告知函”写入磋商文件，鼓励中标供应商凭借采购合同申请贷款，助力解决中小企业融资难、融资贵的问题。</w:t>
            </w:r>
          </w:p>
          <w:p>
            <w:pPr>
              <w:spacing w:line="360" w:lineRule="auto"/>
              <w:ind w:firstLine="315" w:firstLineChars="150"/>
              <w:rPr>
                <w:rFonts w:ascii="宋体" w:hAnsi="宋体" w:cs="宋体"/>
                <w:sz w:val="21"/>
                <w:szCs w:val="21"/>
              </w:rPr>
            </w:pPr>
            <w:r>
              <w:rPr>
                <w:rFonts w:hint="eastAsia" w:ascii="宋体" w:hAnsi="宋体" w:cs="宋体"/>
                <w:sz w:val="21"/>
                <w:szCs w:val="21"/>
              </w:rPr>
              <w:t>五、落实预留采购份额</w:t>
            </w:r>
          </w:p>
          <w:p>
            <w:pPr>
              <w:spacing w:line="360" w:lineRule="auto"/>
              <w:ind w:firstLine="315" w:firstLineChars="150"/>
              <w:rPr>
                <w:rFonts w:ascii="宋体" w:hAnsi="宋体" w:cs="宋体"/>
                <w:sz w:val="21"/>
                <w:szCs w:val="21"/>
              </w:rPr>
            </w:pPr>
            <w:r>
              <w:rPr>
                <w:rFonts w:hint="eastAsia" w:ascii="宋体" w:hAnsi="宋体" w:cs="宋体"/>
                <w:sz w:val="21"/>
                <w:szCs w:val="21"/>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 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p>
            <w:pPr>
              <w:spacing w:line="360" w:lineRule="auto"/>
              <w:ind w:firstLine="315" w:firstLineChars="150"/>
              <w:rPr>
                <w:rFonts w:ascii="宋体" w:hAnsi="宋体" w:cs="宋体"/>
                <w:sz w:val="21"/>
                <w:szCs w:val="21"/>
              </w:rPr>
            </w:pPr>
            <w:r>
              <w:rPr>
                <w:rFonts w:hint="eastAsia" w:ascii="宋体" w:hAnsi="宋体" w:cs="宋体"/>
                <w:sz w:val="21"/>
                <w:szCs w:val="21"/>
              </w:rPr>
              <w:t>六、落实价格评审优惠政策</w:t>
            </w:r>
          </w:p>
          <w:p>
            <w:pPr>
              <w:spacing w:line="360" w:lineRule="auto"/>
              <w:ind w:firstLine="315" w:firstLineChars="150"/>
              <w:rPr>
                <w:rFonts w:hint="eastAsia" w:ascii="宋体" w:hAnsi="宋体" w:cs="宋体"/>
                <w:sz w:val="21"/>
                <w:szCs w:val="21"/>
              </w:rPr>
            </w:pPr>
            <w:r>
              <w:rPr>
                <w:rFonts w:hint="eastAsia" w:ascii="宋体" w:hAnsi="宋体" w:cs="宋体"/>
                <w:sz w:val="21"/>
                <w:szCs w:val="21"/>
              </w:rPr>
              <w:t>对于未预留份额专门面向中小企业采购的采购项目，以及预留份额项目中的非预留部分采购包，采购人、采购代理机构应当对符合《政府采购促进中小企业发展管理办法》（财库〔2020〕46号）规定的小微企业报价给予6%—10%（工程项目为 3%—5%）的扣除，用扣除后的价格参加评审。大中型企业与小微企业组成联合体或者大中型企业向小微企业分包的（联合协议或者分包意向协议约定小微企业的合同份额应占合同总金额的30%以上），给予联合体或大中型企业2%—3%（工程项目为1%—2%）的价格扣除优惠，用扣除后的价格参加评审。按照平顶山市财政局出台的《平顶山市财政局关于进一步加大政府采购支持中小企业力度的通知》（平财购〔2022〕8号）的规定：采购人在货物和服务采购项目中， 对于经主管预算单位统筹后未预留份额专门面向中小企业的采购项目，以及预留份额项目中的非预留部分采购包，给予小微企业10%—20%的价格扣除优惠。大中型企业与小微企业组成联合体或者大中型企业向小微企业分包的（联合协议或者分包意向协议约定小微企业的合同份额应占合同总金额的30%以上），给予联合体或大中型企业4%—6%的价格扣除优惠，用扣除后的价格参加评审。鼓励采购人结合采购标的相关行业平均利润率、市场竞争状况等从高选择价格扣除比例和评审优惠幅度，支持中小企业发展。上述政策应当在评审办法中注明确定值。</w:t>
            </w:r>
          </w:p>
        </w:tc>
      </w:tr>
    </w:tbl>
    <w:p>
      <w:pPr>
        <w:spacing w:before="70"/>
        <w:rPr>
          <w:rFonts w:hint="eastAsia" w:ascii="宋体" w:hAnsi="宋体"/>
          <w:b/>
          <w:bCs/>
          <w:szCs w:val="21"/>
        </w:rPr>
      </w:pPr>
    </w:p>
    <w:p>
      <w:pPr>
        <w:spacing w:before="70"/>
        <w:rPr>
          <w:rFonts w:hint="eastAsia" w:ascii="宋体" w:hAnsi="宋体"/>
          <w:b/>
          <w:bCs/>
          <w:szCs w:val="21"/>
        </w:rPr>
      </w:pPr>
    </w:p>
    <w:p>
      <w:pPr>
        <w:spacing w:line="360" w:lineRule="auto"/>
        <w:ind w:right="455"/>
        <w:rPr>
          <w:rFonts w:ascii="宋体" w:hAnsi="宋体"/>
          <w:szCs w:val="21"/>
        </w:rPr>
      </w:pPr>
    </w:p>
    <w:p>
      <w:pPr>
        <w:bidi w:val="0"/>
        <w:rPr>
          <w:rFonts w:hint="eastAsia"/>
        </w:rPr>
      </w:pPr>
      <w:r>
        <w:rPr>
          <w:rFonts w:ascii="宋体" w:hAnsi="宋体" w:eastAsia="宋体"/>
        </w:rPr>
        <w:br w:type="page"/>
      </w:r>
      <w:bookmarkEnd w:id="59"/>
      <w:bookmarkEnd w:id="60"/>
      <w:bookmarkEnd w:id="61"/>
    </w:p>
    <w:p>
      <w:pPr>
        <w:keepNext/>
        <w:keepLines/>
        <w:spacing w:before="100" w:line="360" w:lineRule="auto"/>
        <w:outlineLvl w:val="1"/>
        <w:rPr>
          <w:rFonts w:ascii="宋体" w:hAnsi="宋体" w:cs="宋体"/>
          <w:b/>
          <w:color w:val="000000"/>
          <w:sz w:val="24"/>
        </w:rPr>
      </w:pPr>
      <w:bookmarkStart w:id="62" w:name="_Toc25945"/>
      <w:bookmarkStart w:id="63" w:name="_Toc20325"/>
      <w:bookmarkStart w:id="64" w:name="_Toc179632546"/>
      <w:r>
        <w:rPr>
          <w:rFonts w:hint="eastAsia" w:ascii="宋体" w:hAnsi="宋体" w:cs="宋体"/>
          <w:b/>
          <w:color w:val="000000"/>
          <w:sz w:val="24"/>
        </w:rPr>
        <w:t>1.</w:t>
      </w:r>
      <w:r>
        <w:rPr>
          <w:rFonts w:ascii="宋体" w:hAnsi="宋体" w:cs="宋体"/>
          <w:b/>
          <w:color w:val="000000"/>
          <w:sz w:val="24"/>
        </w:rPr>
        <w:t xml:space="preserve"> </w:t>
      </w:r>
      <w:r>
        <w:rPr>
          <w:rFonts w:hint="eastAsia" w:ascii="宋体" w:hAnsi="宋体" w:cs="宋体"/>
          <w:b/>
          <w:color w:val="000000"/>
          <w:sz w:val="24"/>
        </w:rPr>
        <w:t>总则</w:t>
      </w:r>
      <w:bookmarkEnd w:id="62"/>
      <w:bookmarkEnd w:id="63"/>
      <w:bookmarkEnd w:id="64"/>
    </w:p>
    <w:p>
      <w:pPr>
        <w:keepNext/>
        <w:keepLines/>
        <w:spacing w:line="360" w:lineRule="auto"/>
        <w:outlineLvl w:val="2"/>
        <w:rPr>
          <w:rFonts w:ascii="宋体" w:hAnsi="宋体" w:cs="宋体"/>
          <w:b/>
          <w:color w:val="000000"/>
          <w:sz w:val="24"/>
        </w:rPr>
      </w:pPr>
      <w:bookmarkStart w:id="65" w:name="_Toc28137"/>
      <w:bookmarkStart w:id="66" w:name="_Toc144974498"/>
      <w:bookmarkStart w:id="67" w:name="_Toc179632547"/>
      <w:bookmarkStart w:id="68" w:name="_Toc152045530"/>
      <w:bookmarkStart w:id="69" w:name="_Toc152042306"/>
      <w:r>
        <w:rPr>
          <w:rFonts w:hint="eastAsia" w:ascii="宋体" w:hAnsi="宋体" w:cs="宋体"/>
          <w:b/>
          <w:color w:val="000000"/>
          <w:sz w:val="24"/>
        </w:rPr>
        <w:t>1.1 项目概况</w:t>
      </w:r>
      <w:bookmarkEnd w:id="65"/>
      <w:bookmarkEnd w:id="66"/>
      <w:bookmarkEnd w:id="67"/>
      <w:bookmarkEnd w:id="68"/>
      <w:bookmarkEnd w:id="69"/>
    </w:p>
    <w:p>
      <w:pPr>
        <w:spacing w:line="360" w:lineRule="auto"/>
        <w:ind w:firstLine="480" w:firstLineChars="200"/>
        <w:rPr>
          <w:rFonts w:ascii="宋体" w:hAnsi="宋体" w:cs="宋体"/>
          <w:color w:val="000000"/>
          <w:sz w:val="24"/>
        </w:rPr>
      </w:pPr>
      <w:r>
        <w:rPr>
          <w:rFonts w:hint="eastAsia" w:ascii="宋体" w:hAnsi="宋体" w:cs="宋体"/>
          <w:color w:val="000000"/>
          <w:sz w:val="24"/>
        </w:rPr>
        <w:t>1.1.1根据有关法律、法规和规章的规定，本招标项目已具备招标条件，现对本项目进行招标。</w:t>
      </w:r>
    </w:p>
    <w:p>
      <w:pPr>
        <w:spacing w:line="360" w:lineRule="auto"/>
        <w:ind w:firstLine="480" w:firstLineChars="200"/>
        <w:rPr>
          <w:rFonts w:ascii="宋体" w:hAnsi="宋体" w:cs="宋体"/>
          <w:color w:val="000000"/>
          <w:sz w:val="24"/>
        </w:rPr>
      </w:pPr>
      <w:r>
        <w:rPr>
          <w:rFonts w:hint="eastAsia" w:ascii="宋体" w:hAnsi="宋体" w:cs="宋体"/>
          <w:color w:val="000000"/>
          <w:sz w:val="24"/>
        </w:rPr>
        <w:t>1.1.2 本招标项目采购人：</w:t>
      </w:r>
      <w:r>
        <w:rPr>
          <w:rFonts w:hint="eastAsia" w:ascii="宋体" w:hAnsi="宋体" w:cs="宋体"/>
          <w:sz w:val="24"/>
        </w:rPr>
        <w:t>见</w:t>
      </w:r>
      <w:r>
        <w:rPr>
          <w:rFonts w:hint="eastAsia" w:ascii="宋体" w:hAnsi="宋体" w:cs="宋体"/>
          <w:snapToGrid w:val="0"/>
          <w:kern w:val="0"/>
          <w:sz w:val="24"/>
        </w:rPr>
        <w:t>供应商</w:t>
      </w:r>
      <w:r>
        <w:rPr>
          <w:rFonts w:hint="eastAsia" w:ascii="宋体" w:hAnsi="宋体" w:cs="宋体"/>
          <w:sz w:val="24"/>
        </w:rPr>
        <w:t>须知前附表</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1.1.3 本招标项目采购代理机构：</w:t>
      </w:r>
      <w:r>
        <w:rPr>
          <w:rFonts w:hint="eastAsia" w:ascii="宋体" w:hAnsi="宋体" w:cs="宋体"/>
          <w:sz w:val="24"/>
        </w:rPr>
        <w:t>见</w:t>
      </w:r>
      <w:r>
        <w:rPr>
          <w:rFonts w:hint="eastAsia" w:ascii="宋体" w:hAnsi="宋体" w:cs="宋体"/>
          <w:snapToGrid w:val="0"/>
          <w:kern w:val="0"/>
          <w:sz w:val="24"/>
        </w:rPr>
        <w:t>供应商</w:t>
      </w:r>
      <w:r>
        <w:rPr>
          <w:rFonts w:hint="eastAsia" w:ascii="宋体" w:hAnsi="宋体" w:cs="宋体"/>
          <w:sz w:val="24"/>
        </w:rPr>
        <w:t>须知前附表</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1.1.4 本招标项目名称：</w:t>
      </w:r>
      <w:r>
        <w:rPr>
          <w:rFonts w:hint="eastAsia" w:ascii="宋体" w:hAnsi="宋体" w:cs="宋体"/>
          <w:sz w:val="24"/>
        </w:rPr>
        <w:t>见</w:t>
      </w:r>
      <w:r>
        <w:rPr>
          <w:rFonts w:hint="eastAsia" w:ascii="宋体" w:hAnsi="宋体" w:cs="宋体"/>
          <w:snapToGrid w:val="0"/>
          <w:kern w:val="0"/>
          <w:sz w:val="24"/>
        </w:rPr>
        <w:t>供应商</w:t>
      </w:r>
      <w:r>
        <w:rPr>
          <w:rFonts w:hint="eastAsia" w:ascii="宋体" w:hAnsi="宋体" w:cs="宋体"/>
          <w:sz w:val="24"/>
        </w:rPr>
        <w:t>须知前附表</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1.1.5 本招标项目建设地点：</w:t>
      </w:r>
      <w:r>
        <w:rPr>
          <w:rFonts w:hint="eastAsia" w:ascii="宋体" w:hAnsi="宋体" w:cs="宋体"/>
          <w:sz w:val="24"/>
        </w:rPr>
        <w:t>见</w:t>
      </w:r>
      <w:r>
        <w:rPr>
          <w:rFonts w:hint="eastAsia" w:ascii="宋体" w:hAnsi="宋体" w:cs="宋体"/>
          <w:snapToGrid w:val="0"/>
          <w:kern w:val="0"/>
          <w:sz w:val="24"/>
        </w:rPr>
        <w:t>供应商</w:t>
      </w:r>
      <w:r>
        <w:rPr>
          <w:rFonts w:hint="eastAsia" w:ascii="宋体" w:hAnsi="宋体" w:cs="宋体"/>
          <w:sz w:val="24"/>
        </w:rPr>
        <w:t>须知前附表</w:t>
      </w:r>
      <w:r>
        <w:rPr>
          <w:rFonts w:hint="eastAsia" w:ascii="宋体" w:hAnsi="宋体" w:cs="宋体"/>
          <w:color w:val="000000"/>
          <w:sz w:val="24"/>
        </w:rPr>
        <w:t>。</w:t>
      </w:r>
    </w:p>
    <w:p>
      <w:pPr>
        <w:keepNext/>
        <w:keepLines/>
        <w:spacing w:line="360" w:lineRule="auto"/>
        <w:outlineLvl w:val="2"/>
        <w:rPr>
          <w:rFonts w:ascii="宋体" w:hAnsi="宋体" w:cs="宋体"/>
          <w:b/>
          <w:color w:val="000000"/>
          <w:sz w:val="24"/>
        </w:rPr>
      </w:pPr>
      <w:bookmarkStart w:id="70" w:name="_Toc152045531"/>
      <w:bookmarkStart w:id="71" w:name="_Toc179632548"/>
      <w:bookmarkStart w:id="72" w:name="_Toc6498"/>
      <w:bookmarkStart w:id="73" w:name="_Toc152042307"/>
      <w:bookmarkStart w:id="74" w:name="_Toc144974499"/>
      <w:r>
        <w:rPr>
          <w:rFonts w:hint="eastAsia" w:ascii="宋体" w:hAnsi="宋体" w:cs="宋体"/>
          <w:b/>
          <w:color w:val="000000"/>
          <w:sz w:val="24"/>
        </w:rPr>
        <w:t>1.2 资金来源和落实情况</w:t>
      </w:r>
      <w:bookmarkEnd w:id="70"/>
      <w:bookmarkEnd w:id="71"/>
      <w:bookmarkEnd w:id="72"/>
      <w:bookmarkEnd w:id="73"/>
      <w:bookmarkEnd w:id="74"/>
    </w:p>
    <w:p>
      <w:pPr>
        <w:spacing w:line="360" w:lineRule="auto"/>
        <w:ind w:firstLine="480" w:firstLineChars="200"/>
        <w:rPr>
          <w:rFonts w:ascii="宋体" w:hAnsi="宋体" w:cs="宋体"/>
          <w:color w:val="000000"/>
          <w:sz w:val="24"/>
        </w:rPr>
      </w:pPr>
      <w:r>
        <w:rPr>
          <w:rFonts w:hint="eastAsia" w:ascii="宋体" w:hAnsi="宋体" w:cs="宋体"/>
          <w:color w:val="000000"/>
          <w:sz w:val="24"/>
        </w:rPr>
        <w:t>1.2.1 本招标项目的资金来源：</w:t>
      </w:r>
      <w:r>
        <w:rPr>
          <w:rFonts w:hint="eastAsia" w:ascii="宋体" w:hAnsi="宋体" w:cs="宋体"/>
          <w:sz w:val="24"/>
        </w:rPr>
        <w:t>见</w:t>
      </w:r>
      <w:r>
        <w:rPr>
          <w:rFonts w:hint="eastAsia" w:ascii="宋体" w:hAnsi="宋体" w:cs="宋体"/>
          <w:snapToGrid w:val="0"/>
          <w:kern w:val="0"/>
          <w:sz w:val="24"/>
        </w:rPr>
        <w:t>供应商</w:t>
      </w:r>
      <w:r>
        <w:rPr>
          <w:rFonts w:hint="eastAsia" w:ascii="宋体" w:hAnsi="宋体" w:cs="宋体"/>
          <w:sz w:val="24"/>
        </w:rPr>
        <w:t>须知前附表</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1.2.2 本招标项目的出资比例：</w:t>
      </w:r>
      <w:r>
        <w:rPr>
          <w:rFonts w:hint="eastAsia" w:ascii="宋体" w:hAnsi="宋体" w:cs="宋体"/>
          <w:sz w:val="24"/>
        </w:rPr>
        <w:t>见</w:t>
      </w:r>
      <w:r>
        <w:rPr>
          <w:rFonts w:hint="eastAsia" w:ascii="宋体" w:hAnsi="宋体" w:cs="宋体"/>
          <w:snapToGrid w:val="0"/>
          <w:kern w:val="0"/>
          <w:sz w:val="24"/>
        </w:rPr>
        <w:t>供应商</w:t>
      </w:r>
      <w:r>
        <w:rPr>
          <w:rFonts w:hint="eastAsia" w:ascii="宋体" w:hAnsi="宋体" w:cs="宋体"/>
          <w:sz w:val="24"/>
        </w:rPr>
        <w:t>须知前附表</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1.2.3 本招标项目的资金落实情况：</w:t>
      </w:r>
      <w:r>
        <w:rPr>
          <w:rFonts w:hint="eastAsia" w:ascii="宋体" w:hAnsi="宋体" w:cs="宋体"/>
          <w:sz w:val="24"/>
        </w:rPr>
        <w:t>见</w:t>
      </w:r>
      <w:r>
        <w:rPr>
          <w:rFonts w:hint="eastAsia" w:ascii="宋体" w:hAnsi="宋体" w:cs="宋体"/>
          <w:snapToGrid w:val="0"/>
          <w:kern w:val="0"/>
          <w:sz w:val="24"/>
        </w:rPr>
        <w:t>供应商</w:t>
      </w:r>
      <w:r>
        <w:rPr>
          <w:rFonts w:hint="eastAsia" w:ascii="宋体" w:hAnsi="宋体" w:cs="宋体"/>
          <w:sz w:val="24"/>
        </w:rPr>
        <w:t>须知前附表</w:t>
      </w:r>
      <w:r>
        <w:rPr>
          <w:rFonts w:hint="eastAsia" w:ascii="宋体" w:hAnsi="宋体" w:cs="宋体"/>
          <w:color w:val="000000"/>
          <w:sz w:val="24"/>
        </w:rPr>
        <w:t>。</w:t>
      </w:r>
    </w:p>
    <w:p>
      <w:pPr>
        <w:keepNext/>
        <w:keepLines/>
        <w:spacing w:line="360" w:lineRule="auto"/>
        <w:outlineLvl w:val="2"/>
        <w:rPr>
          <w:rFonts w:ascii="宋体" w:hAnsi="宋体" w:cs="宋体"/>
          <w:b/>
          <w:color w:val="000000"/>
          <w:sz w:val="24"/>
        </w:rPr>
      </w:pPr>
      <w:bookmarkStart w:id="75" w:name="_Toc144974500"/>
      <w:bookmarkStart w:id="76" w:name="_Toc152042308"/>
      <w:bookmarkStart w:id="77" w:name="_Toc179632549"/>
      <w:bookmarkStart w:id="78" w:name="_Toc152045532"/>
      <w:bookmarkStart w:id="79" w:name="_Toc31209"/>
      <w:r>
        <w:rPr>
          <w:rFonts w:hint="eastAsia" w:ascii="宋体" w:hAnsi="宋体" w:cs="宋体"/>
          <w:b/>
          <w:color w:val="000000"/>
          <w:sz w:val="24"/>
        </w:rPr>
        <w:t>1.3 招标范围、计划工期和质量要求</w:t>
      </w:r>
      <w:bookmarkEnd w:id="75"/>
      <w:bookmarkEnd w:id="76"/>
      <w:bookmarkEnd w:id="77"/>
      <w:bookmarkEnd w:id="78"/>
      <w:bookmarkEnd w:id="79"/>
    </w:p>
    <w:p>
      <w:pPr>
        <w:spacing w:line="360" w:lineRule="auto"/>
        <w:ind w:firstLine="480" w:firstLineChars="200"/>
        <w:rPr>
          <w:rFonts w:ascii="宋体" w:hAnsi="宋体" w:cs="宋体"/>
          <w:color w:val="000000"/>
          <w:sz w:val="24"/>
        </w:rPr>
      </w:pPr>
      <w:r>
        <w:rPr>
          <w:rFonts w:hint="eastAsia" w:ascii="宋体" w:hAnsi="宋体" w:cs="宋体"/>
          <w:color w:val="000000"/>
          <w:sz w:val="24"/>
        </w:rPr>
        <w:t>1.3.1 本次招标范围：</w:t>
      </w:r>
      <w:r>
        <w:rPr>
          <w:rFonts w:hint="eastAsia" w:ascii="宋体" w:hAnsi="宋体" w:cs="宋体"/>
          <w:sz w:val="24"/>
        </w:rPr>
        <w:t>见</w:t>
      </w:r>
      <w:r>
        <w:rPr>
          <w:rFonts w:hint="eastAsia" w:ascii="宋体" w:hAnsi="宋体" w:cs="宋体"/>
          <w:snapToGrid w:val="0"/>
          <w:kern w:val="0"/>
          <w:sz w:val="24"/>
        </w:rPr>
        <w:t>供应商</w:t>
      </w:r>
      <w:r>
        <w:rPr>
          <w:rFonts w:hint="eastAsia" w:ascii="宋体" w:hAnsi="宋体" w:cs="宋体"/>
          <w:sz w:val="24"/>
        </w:rPr>
        <w:t>须知前附表</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1.3.2 </w:t>
      </w:r>
      <w:r>
        <w:rPr>
          <w:rFonts w:hint="eastAsia" w:ascii="宋体" w:hAnsi="宋体" w:cs="宋体"/>
          <w:snapToGrid w:val="0"/>
          <w:kern w:val="0"/>
          <w:sz w:val="24"/>
        </w:rPr>
        <w:t>本招标项目的工期要求</w:t>
      </w:r>
      <w:r>
        <w:rPr>
          <w:rFonts w:hint="eastAsia" w:ascii="宋体" w:hAnsi="宋体" w:cs="宋体"/>
          <w:color w:val="000000"/>
          <w:sz w:val="24"/>
        </w:rPr>
        <w:t>：</w:t>
      </w:r>
      <w:r>
        <w:rPr>
          <w:rFonts w:hint="eastAsia" w:ascii="宋体" w:hAnsi="宋体" w:cs="宋体"/>
          <w:sz w:val="24"/>
        </w:rPr>
        <w:t>见</w:t>
      </w:r>
      <w:r>
        <w:rPr>
          <w:rFonts w:hint="eastAsia" w:ascii="宋体" w:hAnsi="宋体" w:cs="宋体"/>
          <w:snapToGrid w:val="0"/>
          <w:kern w:val="0"/>
          <w:sz w:val="24"/>
        </w:rPr>
        <w:t>供应商</w:t>
      </w:r>
      <w:r>
        <w:rPr>
          <w:rFonts w:hint="eastAsia" w:ascii="宋体" w:hAnsi="宋体" w:cs="宋体"/>
          <w:sz w:val="24"/>
        </w:rPr>
        <w:t>须知前附表</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1.3.3 </w:t>
      </w:r>
      <w:r>
        <w:rPr>
          <w:rFonts w:hint="eastAsia" w:ascii="宋体" w:hAnsi="宋体" w:cs="宋体"/>
          <w:snapToGrid w:val="0"/>
          <w:kern w:val="0"/>
          <w:sz w:val="24"/>
        </w:rPr>
        <w:t>本招标项目的质量要求</w:t>
      </w:r>
      <w:r>
        <w:rPr>
          <w:rFonts w:hint="eastAsia" w:ascii="宋体" w:hAnsi="宋体" w:cs="宋体"/>
          <w:color w:val="000000"/>
          <w:sz w:val="24"/>
        </w:rPr>
        <w:t>：</w:t>
      </w:r>
      <w:r>
        <w:rPr>
          <w:rFonts w:hint="eastAsia" w:ascii="宋体" w:hAnsi="宋体" w:cs="宋体"/>
          <w:sz w:val="24"/>
        </w:rPr>
        <w:t>见</w:t>
      </w:r>
      <w:r>
        <w:rPr>
          <w:rFonts w:hint="eastAsia" w:ascii="宋体" w:hAnsi="宋体" w:cs="宋体"/>
          <w:snapToGrid w:val="0"/>
          <w:kern w:val="0"/>
          <w:sz w:val="24"/>
        </w:rPr>
        <w:t>供应商</w:t>
      </w:r>
      <w:r>
        <w:rPr>
          <w:rFonts w:hint="eastAsia" w:ascii="宋体" w:hAnsi="宋体" w:cs="宋体"/>
          <w:sz w:val="24"/>
        </w:rPr>
        <w:t>须知前附表</w:t>
      </w:r>
      <w:r>
        <w:rPr>
          <w:rFonts w:hint="eastAsia" w:ascii="宋体" w:hAnsi="宋体" w:cs="宋体"/>
          <w:color w:val="000000"/>
          <w:sz w:val="24"/>
        </w:rPr>
        <w:t>。</w:t>
      </w:r>
    </w:p>
    <w:p>
      <w:pPr>
        <w:keepNext/>
        <w:keepLines/>
        <w:spacing w:line="360" w:lineRule="auto"/>
        <w:outlineLvl w:val="2"/>
        <w:rPr>
          <w:rFonts w:ascii="宋体" w:hAnsi="宋体" w:cs="宋体"/>
          <w:b/>
          <w:color w:val="000000"/>
          <w:sz w:val="24"/>
        </w:rPr>
      </w:pPr>
      <w:bookmarkStart w:id="80" w:name="_Toc152045534"/>
      <w:bookmarkStart w:id="81" w:name="_Toc144974502"/>
      <w:bookmarkStart w:id="82" w:name="_Toc152042310"/>
      <w:bookmarkStart w:id="83" w:name="_Toc179632551"/>
      <w:bookmarkStart w:id="84" w:name="_Toc22575"/>
      <w:r>
        <w:rPr>
          <w:rFonts w:hint="eastAsia" w:ascii="宋体" w:hAnsi="宋体" w:cs="宋体"/>
          <w:b/>
          <w:color w:val="000000"/>
          <w:sz w:val="24"/>
        </w:rPr>
        <w:t>1.4 投标人资格要求</w:t>
      </w:r>
      <w:bookmarkEnd w:id="80"/>
      <w:bookmarkEnd w:id="81"/>
      <w:bookmarkEnd w:id="82"/>
      <w:bookmarkEnd w:id="83"/>
      <w:bookmarkEnd w:id="84"/>
    </w:p>
    <w:p>
      <w:pPr>
        <w:spacing w:line="360" w:lineRule="auto"/>
        <w:ind w:firstLine="480" w:firstLineChars="200"/>
        <w:rPr>
          <w:rFonts w:ascii="宋体" w:hAnsi="宋体" w:cs="宋体"/>
          <w:color w:val="000000"/>
          <w:sz w:val="24"/>
        </w:rPr>
      </w:pPr>
      <w:r>
        <w:rPr>
          <w:rFonts w:hint="eastAsia" w:ascii="宋体" w:hAnsi="宋体" w:cs="宋体"/>
          <w:color w:val="000000"/>
          <w:sz w:val="24"/>
        </w:rPr>
        <w:t>1.4.1</w:t>
      </w:r>
      <w:r>
        <w:rPr>
          <w:rFonts w:ascii="宋体" w:hAnsi="宋体" w:cs="宋体"/>
          <w:color w:val="000000"/>
          <w:sz w:val="24"/>
        </w:rPr>
        <w:t xml:space="preserve"> </w:t>
      </w:r>
      <w:r>
        <w:rPr>
          <w:rFonts w:hint="eastAsia" w:ascii="宋体" w:hAnsi="宋体" w:cs="宋体"/>
          <w:color w:val="000000"/>
          <w:sz w:val="24"/>
        </w:rPr>
        <w:t>投标人应具备承担本项目施工的资质条件、能力和信誉：见供应商须知前附表。</w:t>
      </w:r>
    </w:p>
    <w:p>
      <w:pPr>
        <w:spacing w:line="360" w:lineRule="auto"/>
        <w:ind w:firstLine="480" w:firstLineChars="200"/>
        <w:rPr>
          <w:rFonts w:ascii="宋体" w:hAnsi="宋体" w:cs="宋体"/>
          <w:color w:val="000000"/>
          <w:sz w:val="24"/>
        </w:rPr>
      </w:pPr>
      <w:r>
        <w:rPr>
          <w:rFonts w:hint="eastAsia" w:ascii="宋体" w:hAnsi="宋体" w:cs="宋体"/>
          <w:color w:val="000000"/>
          <w:sz w:val="24"/>
        </w:rPr>
        <w:t>1.4.2 本项目不接受联合体投标。</w:t>
      </w:r>
    </w:p>
    <w:p>
      <w:pPr>
        <w:spacing w:line="360" w:lineRule="auto"/>
        <w:ind w:firstLine="480" w:firstLineChars="200"/>
        <w:rPr>
          <w:rFonts w:ascii="宋体" w:hAnsi="宋体" w:cs="宋体"/>
          <w:color w:val="000000"/>
          <w:sz w:val="24"/>
        </w:rPr>
      </w:pPr>
      <w:r>
        <w:rPr>
          <w:rFonts w:hint="eastAsia" w:ascii="宋体" w:hAnsi="宋体" w:cs="宋体"/>
          <w:color w:val="000000"/>
          <w:sz w:val="24"/>
        </w:rPr>
        <w:t>1.4.3 供应商不得存在下列情形之一：</w:t>
      </w:r>
    </w:p>
    <w:p>
      <w:pPr>
        <w:spacing w:line="360" w:lineRule="auto"/>
        <w:ind w:firstLine="820" w:firstLineChars="342"/>
        <w:rPr>
          <w:rFonts w:ascii="宋体" w:hAnsi="宋体" w:cs="宋体"/>
          <w:color w:val="000000"/>
          <w:sz w:val="24"/>
        </w:rPr>
      </w:pPr>
      <w:r>
        <w:rPr>
          <w:rFonts w:hint="eastAsia" w:ascii="宋体" w:hAnsi="宋体" w:cs="宋体"/>
          <w:color w:val="000000"/>
          <w:sz w:val="24"/>
        </w:rPr>
        <w:t xml:space="preserve">（1）为采购人不具有独立法人资格的附属机构（单位）； </w:t>
      </w:r>
    </w:p>
    <w:p>
      <w:pPr>
        <w:spacing w:line="360" w:lineRule="auto"/>
        <w:ind w:firstLine="820" w:firstLineChars="342"/>
        <w:rPr>
          <w:rFonts w:ascii="宋体" w:hAnsi="宋体" w:cs="宋体"/>
          <w:color w:val="000000"/>
          <w:sz w:val="24"/>
        </w:rPr>
      </w:pPr>
      <w:r>
        <w:rPr>
          <w:rFonts w:hint="eastAsia" w:ascii="宋体" w:hAnsi="宋体" w:cs="宋体"/>
          <w:color w:val="000000"/>
          <w:sz w:val="24"/>
        </w:rPr>
        <w:t xml:space="preserve">（2）为本项目前期准备提供设计或咨询服务的，但设计施工总承包的除外； </w:t>
      </w:r>
    </w:p>
    <w:p>
      <w:pPr>
        <w:spacing w:line="360" w:lineRule="auto"/>
        <w:ind w:firstLine="820" w:firstLineChars="342"/>
        <w:rPr>
          <w:rFonts w:ascii="宋体" w:hAnsi="宋体" w:cs="宋体"/>
          <w:color w:val="000000"/>
          <w:sz w:val="24"/>
        </w:rPr>
      </w:pPr>
      <w:r>
        <w:rPr>
          <w:rFonts w:hint="eastAsia" w:ascii="宋体" w:hAnsi="宋体" w:cs="宋体"/>
          <w:color w:val="000000"/>
          <w:sz w:val="24"/>
        </w:rPr>
        <w:t>（3）为本项目的监理人；</w:t>
      </w:r>
    </w:p>
    <w:p>
      <w:pPr>
        <w:spacing w:line="360" w:lineRule="auto"/>
        <w:ind w:firstLine="820" w:firstLineChars="342"/>
        <w:rPr>
          <w:rFonts w:ascii="宋体" w:hAnsi="宋体" w:cs="宋体"/>
          <w:color w:val="000000"/>
          <w:sz w:val="24"/>
        </w:rPr>
      </w:pPr>
      <w:r>
        <w:rPr>
          <w:rFonts w:hint="eastAsia" w:ascii="宋体" w:hAnsi="宋体" w:cs="宋体"/>
          <w:color w:val="000000"/>
          <w:sz w:val="24"/>
        </w:rPr>
        <w:t xml:space="preserve">（4）为本项目的代建人； </w:t>
      </w:r>
    </w:p>
    <w:p>
      <w:pPr>
        <w:spacing w:line="360" w:lineRule="auto"/>
        <w:ind w:firstLine="820" w:firstLineChars="342"/>
        <w:rPr>
          <w:rFonts w:ascii="宋体" w:hAnsi="宋体" w:cs="宋体"/>
          <w:color w:val="000000"/>
          <w:sz w:val="24"/>
        </w:rPr>
      </w:pPr>
      <w:r>
        <w:rPr>
          <w:rFonts w:hint="eastAsia" w:ascii="宋体" w:hAnsi="宋体" w:cs="宋体"/>
          <w:color w:val="000000"/>
          <w:sz w:val="24"/>
        </w:rPr>
        <w:t xml:space="preserve">（5）为本项目提供招标代理服务的； </w:t>
      </w:r>
    </w:p>
    <w:p>
      <w:pPr>
        <w:spacing w:line="360" w:lineRule="auto"/>
        <w:ind w:firstLine="820" w:firstLineChars="342"/>
        <w:rPr>
          <w:rFonts w:ascii="宋体" w:hAnsi="宋体" w:cs="宋体"/>
          <w:color w:val="000000"/>
          <w:sz w:val="24"/>
        </w:rPr>
      </w:pPr>
      <w:r>
        <w:rPr>
          <w:rFonts w:hint="eastAsia" w:ascii="宋体" w:hAnsi="宋体" w:cs="宋体"/>
          <w:color w:val="000000"/>
          <w:sz w:val="24"/>
        </w:rPr>
        <w:t>（6）与本项目的监理人或代建人或采购代理机构同为一个法定代表人的；</w:t>
      </w:r>
    </w:p>
    <w:p>
      <w:pPr>
        <w:spacing w:line="360" w:lineRule="auto"/>
        <w:ind w:firstLine="820" w:firstLineChars="342"/>
        <w:rPr>
          <w:rFonts w:ascii="宋体" w:hAnsi="宋体" w:cs="宋体"/>
          <w:color w:val="000000"/>
          <w:sz w:val="24"/>
        </w:rPr>
      </w:pPr>
      <w:r>
        <w:rPr>
          <w:rFonts w:hint="eastAsia" w:ascii="宋体" w:hAnsi="宋体" w:cs="宋体"/>
          <w:color w:val="000000"/>
          <w:sz w:val="24"/>
        </w:rPr>
        <w:t>（7）与本项目的监理人或代建人或采购代理机构相互控股或参股的；</w:t>
      </w:r>
    </w:p>
    <w:p>
      <w:pPr>
        <w:spacing w:line="360" w:lineRule="auto"/>
        <w:ind w:firstLine="820" w:firstLineChars="342"/>
        <w:rPr>
          <w:rFonts w:ascii="宋体" w:hAnsi="宋体" w:cs="宋体"/>
          <w:color w:val="000000"/>
          <w:sz w:val="24"/>
        </w:rPr>
      </w:pPr>
      <w:r>
        <w:rPr>
          <w:rFonts w:hint="eastAsia" w:ascii="宋体" w:hAnsi="宋体" w:cs="宋体"/>
          <w:color w:val="000000"/>
          <w:sz w:val="24"/>
        </w:rPr>
        <w:t>（8）与本项目的监理人或代建人或采购代理机构相互任职或工作的；</w:t>
      </w:r>
    </w:p>
    <w:p>
      <w:pPr>
        <w:spacing w:line="360" w:lineRule="auto"/>
        <w:ind w:firstLine="820" w:firstLineChars="342"/>
        <w:rPr>
          <w:rFonts w:ascii="宋体" w:hAnsi="宋体" w:cs="宋体"/>
          <w:color w:val="000000"/>
          <w:sz w:val="24"/>
        </w:rPr>
      </w:pPr>
      <w:r>
        <w:rPr>
          <w:rFonts w:hint="eastAsia" w:ascii="宋体" w:hAnsi="宋体" w:cs="宋体"/>
          <w:color w:val="000000"/>
          <w:sz w:val="24"/>
        </w:rPr>
        <w:t xml:space="preserve">（9）被责令停业的； </w:t>
      </w:r>
    </w:p>
    <w:p>
      <w:pPr>
        <w:spacing w:line="360" w:lineRule="auto"/>
        <w:ind w:firstLine="820" w:firstLineChars="342"/>
        <w:rPr>
          <w:rFonts w:ascii="宋体" w:hAnsi="宋体" w:cs="宋体"/>
          <w:color w:val="000000"/>
          <w:sz w:val="24"/>
        </w:rPr>
      </w:pPr>
      <w:r>
        <w:rPr>
          <w:rFonts w:hint="eastAsia" w:ascii="宋体" w:hAnsi="宋体" w:cs="宋体"/>
          <w:color w:val="000000"/>
          <w:sz w:val="24"/>
        </w:rPr>
        <w:t xml:space="preserve">（10）被暂停或取消投标资格的； </w:t>
      </w:r>
    </w:p>
    <w:p>
      <w:pPr>
        <w:spacing w:line="360" w:lineRule="auto"/>
        <w:ind w:firstLine="820" w:firstLineChars="342"/>
        <w:rPr>
          <w:rFonts w:ascii="宋体" w:hAnsi="宋体" w:cs="宋体"/>
          <w:color w:val="000000"/>
          <w:sz w:val="24"/>
        </w:rPr>
      </w:pPr>
      <w:r>
        <w:rPr>
          <w:rFonts w:hint="eastAsia" w:ascii="宋体" w:hAnsi="宋体" w:cs="宋体"/>
          <w:color w:val="000000"/>
          <w:sz w:val="24"/>
        </w:rPr>
        <w:t>（11）财产被接管或冻结的；</w:t>
      </w:r>
    </w:p>
    <w:p>
      <w:pPr>
        <w:spacing w:line="360" w:lineRule="auto"/>
        <w:ind w:firstLine="820" w:firstLineChars="342"/>
        <w:rPr>
          <w:rFonts w:ascii="宋体" w:hAnsi="宋体" w:cs="宋体"/>
          <w:color w:val="000000"/>
          <w:sz w:val="24"/>
        </w:rPr>
      </w:pPr>
      <w:r>
        <w:rPr>
          <w:rFonts w:hint="eastAsia" w:ascii="宋体" w:hAnsi="宋体" w:cs="宋体"/>
          <w:color w:val="000000"/>
          <w:sz w:val="24"/>
        </w:rPr>
        <w:t>（12）在最近三年内有骗取中标或严重违约或重大工程质量问题的。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1.4.4单位负责人为同一人或者存在控股、管理关系的不同单位，不得同时参加本招标项目投标。</w:t>
      </w:r>
    </w:p>
    <w:p>
      <w:pPr>
        <w:spacing w:line="360" w:lineRule="auto"/>
        <w:outlineLvl w:val="2"/>
        <w:rPr>
          <w:rFonts w:ascii="宋体" w:hAnsi="宋体"/>
          <w:b/>
          <w:sz w:val="24"/>
        </w:rPr>
      </w:pPr>
      <w:r>
        <w:rPr>
          <w:rFonts w:hint="eastAsia" w:ascii="宋体" w:hAnsi="宋体"/>
          <w:b/>
          <w:sz w:val="24"/>
        </w:rPr>
        <w:t>1.5 费用承担</w:t>
      </w:r>
    </w:p>
    <w:p>
      <w:pPr>
        <w:spacing w:line="360" w:lineRule="auto"/>
        <w:ind w:firstLine="480" w:firstLineChars="200"/>
        <w:rPr>
          <w:rFonts w:ascii="宋体" w:hAnsi="宋体"/>
          <w:sz w:val="24"/>
        </w:rPr>
      </w:pPr>
      <w:r>
        <w:rPr>
          <w:rFonts w:hint="eastAsia" w:ascii="宋体" w:hAnsi="宋体"/>
          <w:sz w:val="24"/>
        </w:rPr>
        <w:t>供应商准备和参加投标活动发生的费用自理。</w:t>
      </w:r>
    </w:p>
    <w:p>
      <w:pPr>
        <w:spacing w:line="360" w:lineRule="auto"/>
        <w:outlineLvl w:val="2"/>
        <w:rPr>
          <w:rFonts w:ascii="宋体" w:hAnsi="宋体"/>
          <w:b/>
          <w:sz w:val="24"/>
        </w:rPr>
      </w:pPr>
      <w:bookmarkStart w:id="85" w:name="_Toc144974505"/>
      <w:bookmarkStart w:id="86" w:name="_Toc152042313"/>
      <w:bookmarkStart w:id="87" w:name="_Toc292897312"/>
      <w:bookmarkStart w:id="88" w:name="_Toc179632554"/>
      <w:bookmarkStart w:id="89" w:name="_Toc152045537"/>
      <w:r>
        <w:rPr>
          <w:rFonts w:hint="eastAsia" w:ascii="宋体" w:hAnsi="宋体"/>
          <w:b/>
          <w:sz w:val="24"/>
        </w:rPr>
        <w:t>1.6保密</w:t>
      </w:r>
    </w:p>
    <w:p>
      <w:pPr>
        <w:spacing w:line="360" w:lineRule="auto"/>
        <w:ind w:firstLine="480" w:firstLineChars="200"/>
        <w:rPr>
          <w:rFonts w:ascii="宋体" w:hAnsi="宋体"/>
          <w:sz w:val="24"/>
        </w:rPr>
      </w:pPr>
      <w:r>
        <w:rPr>
          <w:rFonts w:hint="eastAsia" w:ascii="宋体" w:hAnsi="宋体"/>
          <w:sz w:val="24"/>
        </w:rPr>
        <w:t xml:space="preserve">参与招标投标活动的各方应对磋商文件和响应文件中的商业和技术等秘密保密，违者应对由此造成的后果承担法律责任。 </w:t>
      </w:r>
    </w:p>
    <w:p>
      <w:pPr>
        <w:spacing w:line="360" w:lineRule="auto"/>
        <w:outlineLvl w:val="2"/>
        <w:rPr>
          <w:rFonts w:ascii="宋体" w:hAnsi="宋体"/>
          <w:b/>
          <w:sz w:val="24"/>
        </w:rPr>
      </w:pPr>
      <w:r>
        <w:rPr>
          <w:rFonts w:hint="eastAsia" w:ascii="宋体" w:hAnsi="宋体"/>
          <w:b/>
          <w:sz w:val="24"/>
        </w:rPr>
        <w:t>1.7语言</w:t>
      </w:r>
      <w:bookmarkEnd w:id="85"/>
      <w:r>
        <w:rPr>
          <w:rFonts w:hint="eastAsia" w:ascii="宋体" w:hAnsi="宋体"/>
          <w:b/>
          <w:sz w:val="24"/>
        </w:rPr>
        <w:t>文字</w:t>
      </w:r>
      <w:bookmarkEnd w:id="86"/>
      <w:bookmarkEnd w:id="87"/>
      <w:bookmarkEnd w:id="88"/>
      <w:bookmarkEnd w:id="89"/>
    </w:p>
    <w:p>
      <w:pPr>
        <w:spacing w:line="360" w:lineRule="auto"/>
        <w:ind w:firstLine="480" w:firstLineChars="200"/>
        <w:rPr>
          <w:rFonts w:ascii="宋体" w:hAnsi="宋体"/>
          <w:sz w:val="24"/>
        </w:rPr>
      </w:pPr>
      <w:r>
        <w:rPr>
          <w:rFonts w:hint="eastAsia" w:ascii="宋体" w:hAnsi="宋体"/>
          <w:sz w:val="24"/>
        </w:rPr>
        <w:t>除专用术语外，与招标投标有关的语言均使用中文。必要时专用术语应附有中文注释。</w:t>
      </w:r>
    </w:p>
    <w:p>
      <w:pPr>
        <w:spacing w:line="360" w:lineRule="auto"/>
        <w:outlineLvl w:val="2"/>
        <w:rPr>
          <w:rFonts w:ascii="宋体" w:hAnsi="宋体"/>
          <w:b/>
          <w:sz w:val="24"/>
        </w:rPr>
      </w:pPr>
      <w:bookmarkStart w:id="90" w:name="_Toc144974506"/>
      <w:bookmarkStart w:id="91" w:name="_Toc152045538"/>
      <w:bookmarkStart w:id="92" w:name="_Toc179632555"/>
      <w:bookmarkStart w:id="93" w:name="_Toc292897313"/>
      <w:bookmarkStart w:id="94" w:name="_Toc152042314"/>
      <w:r>
        <w:rPr>
          <w:rFonts w:hint="eastAsia" w:ascii="宋体" w:hAnsi="宋体"/>
          <w:b/>
          <w:sz w:val="24"/>
        </w:rPr>
        <w:t>1.8 计量单位</w:t>
      </w:r>
      <w:bookmarkEnd w:id="90"/>
      <w:bookmarkEnd w:id="91"/>
      <w:bookmarkEnd w:id="92"/>
      <w:bookmarkEnd w:id="93"/>
      <w:bookmarkEnd w:id="94"/>
    </w:p>
    <w:p>
      <w:pPr>
        <w:spacing w:line="360" w:lineRule="auto"/>
        <w:ind w:firstLine="480" w:firstLineChars="200"/>
        <w:rPr>
          <w:rFonts w:ascii="宋体" w:hAnsi="宋体"/>
          <w:sz w:val="24"/>
        </w:rPr>
      </w:pPr>
      <w:r>
        <w:rPr>
          <w:rFonts w:hint="eastAsia" w:ascii="宋体" w:hAnsi="宋体"/>
          <w:sz w:val="24"/>
        </w:rPr>
        <w:t>所有计量均采用中华人民共和国法定计量单位。</w:t>
      </w:r>
    </w:p>
    <w:p>
      <w:pPr>
        <w:spacing w:line="360" w:lineRule="auto"/>
        <w:outlineLvl w:val="2"/>
        <w:rPr>
          <w:rFonts w:ascii="宋体" w:hAnsi="宋体"/>
          <w:sz w:val="24"/>
        </w:rPr>
      </w:pPr>
      <w:bookmarkStart w:id="95" w:name="_Toc144974507"/>
      <w:bookmarkStart w:id="96" w:name="_Toc179632556"/>
      <w:bookmarkStart w:id="97" w:name="_Toc292897314"/>
      <w:bookmarkStart w:id="98" w:name="_Toc152042315"/>
      <w:bookmarkStart w:id="99" w:name="_Toc152045539"/>
      <w:r>
        <w:rPr>
          <w:rFonts w:hint="eastAsia" w:ascii="宋体" w:hAnsi="宋体"/>
          <w:b/>
          <w:sz w:val="24"/>
        </w:rPr>
        <w:t>1.9 踏勘现场</w:t>
      </w:r>
      <w:bookmarkEnd w:id="95"/>
      <w:bookmarkEnd w:id="96"/>
      <w:bookmarkEnd w:id="97"/>
      <w:bookmarkEnd w:id="98"/>
      <w:bookmarkEnd w:id="99"/>
      <w:r>
        <w:rPr>
          <w:rFonts w:hint="eastAsia" w:ascii="宋体" w:hAnsi="宋体"/>
          <w:b/>
          <w:sz w:val="24"/>
        </w:rPr>
        <w:t>（不统一组织）</w:t>
      </w:r>
    </w:p>
    <w:p>
      <w:pPr>
        <w:spacing w:line="360" w:lineRule="auto"/>
        <w:ind w:firstLine="480" w:firstLineChars="200"/>
        <w:rPr>
          <w:rFonts w:ascii="宋体" w:hAnsi="宋体"/>
          <w:sz w:val="24"/>
        </w:rPr>
      </w:pPr>
      <w:bookmarkStart w:id="100" w:name="_Toc144974508"/>
      <w:bookmarkStart w:id="101" w:name="_Toc292897315"/>
      <w:bookmarkStart w:id="102" w:name="_Toc152042316"/>
      <w:bookmarkStart w:id="103" w:name="_Toc179632557"/>
      <w:bookmarkStart w:id="104" w:name="_Toc152045540"/>
      <w:r>
        <w:rPr>
          <w:rFonts w:hint="eastAsia" w:ascii="宋体" w:hAnsi="宋体"/>
          <w:sz w:val="24"/>
        </w:rPr>
        <w:t>1.9.1 供应商须知前附表规定组织踏勘现场的，采购人按供应商须知前附表规定的时间、地点组织供应商踏勘项目现场。</w:t>
      </w:r>
    </w:p>
    <w:p>
      <w:pPr>
        <w:spacing w:line="360" w:lineRule="auto"/>
        <w:ind w:firstLine="480" w:firstLineChars="200"/>
        <w:rPr>
          <w:rFonts w:ascii="宋体" w:hAnsi="宋体"/>
          <w:sz w:val="24"/>
        </w:rPr>
      </w:pPr>
      <w:r>
        <w:rPr>
          <w:rFonts w:hint="eastAsia" w:ascii="宋体" w:hAnsi="宋体"/>
          <w:sz w:val="24"/>
        </w:rPr>
        <w:t>1.9.2 供应商踏勘现场发生的费用自理。</w:t>
      </w:r>
    </w:p>
    <w:p>
      <w:pPr>
        <w:spacing w:line="360" w:lineRule="auto"/>
        <w:ind w:firstLine="480" w:firstLineChars="200"/>
        <w:rPr>
          <w:rFonts w:ascii="宋体" w:hAnsi="宋体"/>
          <w:sz w:val="24"/>
        </w:rPr>
      </w:pPr>
      <w:r>
        <w:rPr>
          <w:rFonts w:hint="eastAsia" w:ascii="宋体" w:hAnsi="宋体"/>
          <w:sz w:val="24"/>
        </w:rPr>
        <w:t>1.9.3 除采购人的原因外，供应商自行负责在踏勘现场中所发生的人员伤亡和财产损失。</w:t>
      </w:r>
    </w:p>
    <w:p>
      <w:pPr>
        <w:spacing w:line="360" w:lineRule="auto"/>
        <w:ind w:firstLine="480" w:firstLineChars="200"/>
        <w:rPr>
          <w:rFonts w:ascii="宋体" w:hAnsi="宋体"/>
          <w:sz w:val="24"/>
        </w:rPr>
      </w:pPr>
      <w:r>
        <w:rPr>
          <w:rFonts w:hint="eastAsia" w:ascii="宋体" w:hAnsi="宋体"/>
          <w:sz w:val="24"/>
        </w:rPr>
        <w:t>1.9.4 采购人在踏勘现场中介绍的工程场地和相关的周边环境情况，供应商在编制投标文件时参考，采购人不对投标人据此作出的判断和决策负责。</w:t>
      </w:r>
    </w:p>
    <w:p>
      <w:pPr>
        <w:spacing w:line="360" w:lineRule="auto"/>
        <w:outlineLvl w:val="2"/>
        <w:rPr>
          <w:rFonts w:ascii="宋体" w:hAnsi="宋体"/>
          <w:b/>
          <w:sz w:val="24"/>
        </w:rPr>
      </w:pPr>
      <w:r>
        <w:rPr>
          <w:rFonts w:hint="eastAsia" w:ascii="宋体" w:hAnsi="宋体"/>
          <w:b/>
          <w:sz w:val="24"/>
        </w:rPr>
        <w:t>1.10投标预备会</w:t>
      </w:r>
      <w:bookmarkEnd w:id="100"/>
      <w:bookmarkEnd w:id="101"/>
      <w:bookmarkEnd w:id="102"/>
      <w:bookmarkEnd w:id="103"/>
      <w:bookmarkEnd w:id="104"/>
      <w:r>
        <w:rPr>
          <w:rFonts w:hint="eastAsia" w:ascii="宋体" w:hAnsi="宋体"/>
          <w:b/>
          <w:sz w:val="24"/>
        </w:rPr>
        <w:t>（不适用本项目）</w:t>
      </w:r>
    </w:p>
    <w:p>
      <w:pPr>
        <w:spacing w:line="360" w:lineRule="auto"/>
        <w:ind w:firstLine="480" w:firstLineChars="200"/>
        <w:rPr>
          <w:rFonts w:ascii="宋体" w:hAnsi="宋体"/>
          <w:sz w:val="24"/>
        </w:rPr>
      </w:pPr>
      <w:bookmarkStart w:id="105" w:name="_Toc179632559"/>
      <w:r>
        <w:rPr>
          <w:rFonts w:hint="eastAsia" w:ascii="宋体" w:hAnsi="宋体"/>
          <w:sz w:val="24"/>
        </w:rPr>
        <w:t>1.10.1 供应商须知前附表规定召开投标预备会的，采购人按供应商须知前附表规定的时间和地点召开投标预备会，澄清供应商提出的问题。</w:t>
      </w:r>
    </w:p>
    <w:p>
      <w:pPr>
        <w:spacing w:line="360" w:lineRule="auto"/>
        <w:ind w:firstLine="480" w:firstLineChars="200"/>
        <w:rPr>
          <w:rFonts w:ascii="宋体" w:hAnsi="宋体"/>
          <w:sz w:val="24"/>
        </w:rPr>
      </w:pPr>
      <w:r>
        <w:rPr>
          <w:rFonts w:hint="eastAsia" w:ascii="宋体" w:hAnsi="宋体"/>
          <w:sz w:val="24"/>
        </w:rPr>
        <w:t>1.10.2 供应商应在供应商须知前附表规定的时间前，以书面形式将提出的问题送达采购人，以便采购人在会议期间澄清。</w:t>
      </w:r>
    </w:p>
    <w:p>
      <w:pPr>
        <w:spacing w:line="360" w:lineRule="auto"/>
        <w:ind w:firstLine="480" w:firstLineChars="200"/>
        <w:rPr>
          <w:rFonts w:ascii="宋体" w:hAnsi="宋体"/>
          <w:sz w:val="24"/>
        </w:rPr>
      </w:pPr>
      <w:r>
        <w:rPr>
          <w:rFonts w:hint="eastAsia" w:ascii="宋体" w:hAnsi="宋体"/>
          <w:sz w:val="24"/>
        </w:rPr>
        <w:t>1.10.3 投标预备会后，采购人在供应商须知前附表规定的时间内，将对供应商所提问题的澄清，以书面方式通知所有购买磋商文件的供应商。该澄清内容为磋商文件的组成部分。</w:t>
      </w:r>
    </w:p>
    <w:p>
      <w:pPr>
        <w:spacing w:line="360" w:lineRule="auto"/>
        <w:outlineLvl w:val="2"/>
        <w:rPr>
          <w:rFonts w:ascii="宋体" w:hAnsi="宋体"/>
          <w:b/>
          <w:sz w:val="24"/>
        </w:rPr>
      </w:pPr>
      <w:r>
        <w:rPr>
          <w:rFonts w:hint="eastAsia" w:ascii="宋体" w:hAnsi="宋体"/>
          <w:b/>
          <w:sz w:val="24"/>
        </w:rPr>
        <w:t>1.11分包（不适用本项目）</w:t>
      </w:r>
    </w:p>
    <w:p>
      <w:pPr>
        <w:spacing w:line="360" w:lineRule="auto"/>
        <w:ind w:firstLine="480" w:firstLineChars="200"/>
        <w:rPr>
          <w:rFonts w:ascii="宋体" w:hAnsi="宋体"/>
          <w:sz w:val="24"/>
        </w:rPr>
      </w:pPr>
      <w:r>
        <w:rPr>
          <w:rFonts w:hint="eastAsia" w:ascii="宋体" w:hAnsi="宋体"/>
          <w:sz w:val="24"/>
        </w:rPr>
        <w:t>供应商拟在中标后将中标项目的部分非主体、非关键性工作进行分包的，应符合供应商须知前附表规定的分包内容、分包金额和接受分包的第三人资质要求等限制性条件。</w:t>
      </w:r>
    </w:p>
    <w:p>
      <w:pPr>
        <w:spacing w:line="360" w:lineRule="auto"/>
        <w:outlineLvl w:val="2"/>
        <w:rPr>
          <w:rFonts w:ascii="宋体" w:hAnsi="宋体"/>
          <w:b/>
          <w:sz w:val="24"/>
        </w:rPr>
      </w:pPr>
      <w:r>
        <w:rPr>
          <w:rFonts w:hint="eastAsia" w:ascii="宋体" w:hAnsi="宋体"/>
          <w:b/>
          <w:sz w:val="24"/>
        </w:rPr>
        <w:t>1.12偏离</w:t>
      </w:r>
    </w:p>
    <w:bookmarkEnd w:id="105"/>
    <w:p>
      <w:pPr>
        <w:spacing w:line="360" w:lineRule="auto"/>
        <w:ind w:firstLine="480" w:firstLineChars="200"/>
        <w:rPr>
          <w:rFonts w:ascii="宋体" w:hAnsi="宋体"/>
          <w:sz w:val="24"/>
        </w:rPr>
      </w:pPr>
      <w:r>
        <w:rPr>
          <w:rFonts w:hint="eastAsia" w:ascii="宋体" w:hAnsi="宋体"/>
          <w:sz w:val="24"/>
        </w:rPr>
        <w:t>供应商须知前附表允许投标文件偏离磋商文件某些要求的，偏离应当符合磋商文件规定的偏离范围和幅度。</w:t>
      </w:r>
    </w:p>
    <w:p>
      <w:pPr>
        <w:spacing w:line="360" w:lineRule="auto"/>
        <w:outlineLvl w:val="1"/>
        <w:rPr>
          <w:rFonts w:ascii="宋体" w:hAnsi="宋体"/>
          <w:b/>
          <w:sz w:val="24"/>
        </w:rPr>
      </w:pPr>
      <w:bookmarkStart w:id="106" w:name="_Toc25223"/>
      <w:r>
        <w:rPr>
          <w:rFonts w:hint="eastAsia" w:ascii="宋体" w:hAnsi="宋体"/>
          <w:b/>
          <w:sz w:val="24"/>
        </w:rPr>
        <w:t>2．磋商文件</w:t>
      </w:r>
      <w:bookmarkEnd w:id="106"/>
    </w:p>
    <w:p>
      <w:pPr>
        <w:spacing w:line="360" w:lineRule="auto"/>
        <w:outlineLvl w:val="2"/>
        <w:rPr>
          <w:rFonts w:ascii="宋体" w:hAnsi="宋体"/>
          <w:b/>
          <w:sz w:val="24"/>
        </w:rPr>
      </w:pPr>
      <w:bookmarkStart w:id="107" w:name="_Toc144974511"/>
      <w:bookmarkStart w:id="108" w:name="_Toc179632561"/>
      <w:bookmarkStart w:id="109" w:name="_Toc152042319"/>
      <w:bookmarkStart w:id="110" w:name="_Toc152045543"/>
      <w:bookmarkStart w:id="111" w:name="_Toc292897317"/>
      <w:r>
        <w:rPr>
          <w:rFonts w:hint="eastAsia" w:ascii="宋体" w:hAnsi="宋体"/>
          <w:b/>
          <w:sz w:val="24"/>
        </w:rPr>
        <w:t>2.1 磋商文件的组成</w:t>
      </w:r>
      <w:bookmarkEnd w:id="107"/>
      <w:bookmarkEnd w:id="108"/>
      <w:bookmarkEnd w:id="109"/>
      <w:bookmarkEnd w:id="110"/>
      <w:bookmarkEnd w:id="111"/>
    </w:p>
    <w:p>
      <w:pPr>
        <w:spacing w:line="360" w:lineRule="auto"/>
        <w:ind w:firstLine="480" w:firstLineChars="200"/>
        <w:rPr>
          <w:rFonts w:ascii="宋体" w:hAnsi="宋体"/>
          <w:sz w:val="24"/>
        </w:rPr>
      </w:pPr>
      <w:r>
        <w:rPr>
          <w:rFonts w:hint="eastAsia" w:ascii="宋体" w:hAnsi="宋体"/>
          <w:sz w:val="24"/>
        </w:rPr>
        <w:t>本磋商文件包括：</w:t>
      </w:r>
    </w:p>
    <w:p>
      <w:pPr>
        <w:spacing w:line="360" w:lineRule="auto"/>
        <w:ind w:firstLine="480" w:firstLineChars="200"/>
        <w:rPr>
          <w:rFonts w:ascii="宋体" w:hAnsi="宋体"/>
          <w:sz w:val="24"/>
        </w:rPr>
      </w:pPr>
      <w:r>
        <w:rPr>
          <w:rFonts w:hint="eastAsia" w:ascii="宋体" w:hAnsi="宋体"/>
          <w:sz w:val="24"/>
        </w:rPr>
        <w:t>(1)竞争性磋商公告；</w:t>
      </w:r>
    </w:p>
    <w:p>
      <w:pPr>
        <w:spacing w:line="360" w:lineRule="auto"/>
        <w:ind w:firstLine="480" w:firstLineChars="200"/>
        <w:rPr>
          <w:rFonts w:ascii="宋体" w:hAnsi="宋体"/>
          <w:sz w:val="24"/>
        </w:rPr>
      </w:pPr>
      <w:r>
        <w:rPr>
          <w:rFonts w:hint="eastAsia" w:ascii="宋体" w:hAnsi="宋体"/>
          <w:sz w:val="24"/>
        </w:rPr>
        <w:t>(2)供应商须知；</w:t>
      </w:r>
    </w:p>
    <w:p>
      <w:pPr>
        <w:spacing w:line="360" w:lineRule="auto"/>
        <w:ind w:firstLine="480" w:firstLineChars="200"/>
        <w:rPr>
          <w:rFonts w:ascii="宋体" w:hAnsi="宋体"/>
          <w:sz w:val="24"/>
        </w:rPr>
      </w:pPr>
      <w:r>
        <w:rPr>
          <w:rFonts w:hint="eastAsia" w:ascii="宋体" w:hAnsi="宋体"/>
          <w:sz w:val="24"/>
        </w:rPr>
        <w:t>(3)评标办法（综合评估法）；</w:t>
      </w:r>
    </w:p>
    <w:p>
      <w:pPr>
        <w:spacing w:line="360" w:lineRule="auto"/>
        <w:ind w:firstLine="480" w:firstLineChars="200"/>
        <w:rPr>
          <w:rFonts w:ascii="宋体" w:hAnsi="宋体"/>
          <w:sz w:val="24"/>
        </w:rPr>
      </w:pPr>
      <w:r>
        <w:rPr>
          <w:rFonts w:hint="eastAsia" w:ascii="宋体" w:hAnsi="宋体"/>
          <w:sz w:val="24"/>
        </w:rPr>
        <w:t>(4)合同条款及格式；</w:t>
      </w:r>
    </w:p>
    <w:p>
      <w:pPr>
        <w:spacing w:line="360" w:lineRule="auto"/>
        <w:ind w:firstLine="480" w:firstLineChars="200"/>
        <w:rPr>
          <w:rFonts w:ascii="宋体" w:hAnsi="宋体"/>
          <w:sz w:val="24"/>
        </w:rPr>
      </w:pPr>
      <w:r>
        <w:rPr>
          <w:rFonts w:hint="eastAsia" w:ascii="宋体" w:hAnsi="宋体"/>
          <w:sz w:val="24"/>
        </w:rPr>
        <w:t>(5)工程量清单；</w:t>
      </w:r>
    </w:p>
    <w:p>
      <w:pPr>
        <w:spacing w:line="360" w:lineRule="auto"/>
        <w:ind w:firstLine="480" w:firstLineChars="200"/>
        <w:rPr>
          <w:rFonts w:ascii="宋体" w:hAnsi="宋体"/>
          <w:sz w:val="24"/>
        </w:rPr>
      </w:pPr>
      <w:r>
        <w:rPr>
          <w:rFonts w:hint="eastAsia" w:ascii="宋体" w:hAnsi="宋体"/>
          <w:sz w:val="24"/>
        </w:rPr>
        <w:t>(6)技术标准和要求；</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)响应文件格式。</w:t>
      </w:r>
    </w:p>
    <w:p>
      <w:pPr>
        <w:spacing w:line="360" w:lineRule="auto"/>
        <w:ind w:firstLine="480" w:firstLineChars="200"/>
        <w:rPr>
          <w:rFonts w:ascii="宋体" w:hAnsi="宋体"/>
          <w:sz w:val="24"/>
        </w:rPr>
      </w:pPr>
      <w:r>
        <w:rPr>
          <w:rFonts w:hint="eastAsia" w:ascii="宋体" w:hAnsi="宋体"/>
          <w:sz w:val="24"/>
        </w:rPr>
        <w:t>采购人按本章第2.2款规定对磋商文件所作的澄清、修改等构成磋商文件的组成部分。</w:t>
      </w:r>
    </w:p>
    <w:p>
      <w:pPr>
        <w:spacing w:line="360" w:lineRule="auto"/>
        <w:outlineLvl w:val="2"/>
        <w:rPr>
          <w:rFonts w:ascii="宋体" w:hAnsi="宋体"/>
          <w:b/>
          <w:sz w:val="24"/>
        </w:rPr>
      </w:pPr>
      <w:bookmarkStart w:id="112" w:name="_Toc152042320"/>
      <w:bookmarkStart w:id="113" w:name="_Toc144974512"/>
      <w:bookmarkStart w:id="114" w:name="_Toc292897318"/>
      <w:bookmarkStart w:id="115" w:name="_Toc152045544"/>
      <w:bookmarkStart w:id="116" w:name="_Toc179632562"/>
      <w:r>
        <w:rPr>
          <w:rFonts w:hint="eastAsia" w:ascii="宋体" w:hAnsi="宋体"/>
          <w:b/>
          <w:sz w:val="24"/>
        </w:rPr>
        <w:t>2.2 磋商文件的澄清</w:t>
      </w:r>
      <w:bookmarkEnd w:id="112"/>
      <w:bookmarkEnd w:id="113"/>
      <w:bookmarkEnd w:id="114"/>
      <w:bookmarkEnd w:id="115"/>
      <w:bookmarkEnd w:id="116"/>
      <w:r>
        <w:rPr>
          <w:rFonts w:hint="eastAsia" w:ascii="宋体" w:hAnsi="宋体"/>
          <w:b/>
          <w:sz w:val="24"/>
        </w:rPr>
        <w:t>、修改</w:t>
      </w:r>
    </w:p>
    <w:p>
      <w:pPr>
        <w:spacing w:line="360" w:lineRule="auto"/>
        <w:ind w:firstLine="480" w:firstLineChars="200"/>
        <w:rPr>
          <w:rFonts w:ascii="宋体" w:hAnsi="宋体"/>
          <w:sz w:val="24"/>
        </w:rPr>
      </w:pPr>
      <w:bookmarkStart w:id="117" w:name="_Toc292897319"/>
      <w:bookmarkStart w:id="118" w:name="_Toc152045545"/>
      <w:bookmarkStart w:id="119" w:name="_Toc179632563"/>
      <w:bookmarkStart w:id="120" w:name="_Toc152042321"/>
      <w:bookmarkStart w:id="121" w:name="_Toc144974513"/>
      <w:r>
        <w:rPr>
          <w:rFonts w:hint="eastAsia" w:ascii="宋体" w:hAnsi="宋体"/>
          <w:sz w:val="24"/>
        </w:rPr>
        <w:t>2.2.1供应商应仔细阅读和检查磋商文件的全部内容。如发现缺页或附件不全，应及时在电子交易系统中提出，以便补齐。如有疑问，应在供应商须知前附表规定的时间前在电子交易系统中提出，要求采购人对磋商文件予以澄清。</w:t>
      </w:r>
    </w:p>
    <w:p>
      <w:pPr>
        <w:spacing w:line="360" w:lineRule="auto"/>
        <w:ind w:firstLine="480" w:firstLineChars="200"/>
        <w:rPr>
          <w:rFonts w:ascii="宋体" w:hAnsi="宋体"/>
          <w:sz w:val="24"/>
        </w:rPr>
      </w:pPr>
      <w:r>
        <w:rPr>
          <w:rFonts w:hint="eastAsia" w:ascii="宋体" w:hAnsi="宋体"/>
          <w:sz w:val="24"/>
        </w:rPr>
        <w:t>2.2.2 磋商文件的澄清将在供应商须知前附表规定的投标截止时间前5天在电子交易系统中以澄清形式公示，但不指明澄清问题的来源，如果澄清发出的时间距投标截止时间不足5天，相应延长投标截止时间。</w:t>
      </w:r>
    </w:p>
    <w:p>
      <w:pPr>
        <w:spacing w:line="360" w:lineRule="auto"/>
        <w:ind w:firstLine="480" w:firstLineChars="200"/>
        <w:rPr>
          <w:rFonts w:ascii="宋体" w:hAnsi="宋体"/>
          <w:sz w:val="24"/>
        </w:rPr>
      </w:pPr>
      <w:r>
        <w:rPr>
          <w:rFonts w:hint="eastAsia" w:ascii="宋体" w:hAnsi="宋体"/>
          <w:sz w:val="24"/>
        </w:rPr>
        <w:t>2.2.3投标截止时间5天前，采购人可在电子交易系统中修改磋商文件并公示，如果修改磋商文件的时间距投标截止时间不足5天，相应延长投标截止时间。</w:t>
      </w:r>
    </w:p>
    <w:p>
      <w:pPr>
        <w:spacing w:line="360" w:lineRule="auto"/>
        <w:ind w:firstLine="480" w:firstLineChars="200"/>
        <w:rPr>
          <w:rFonts w:ascii="宋体" w:hAnsi="宋体"/>
          <w:sz w:val="24"/>
        </w:rPr>
      </w:pPr>
      <w:r>
        <w:rPr>
          <w:rFonts w:hint="eastAsia" w:ascii="宋体" w:hAnsi="宋体"/>
          <w:sz w:val="24"/>
        </w:rPr>
        <w:t>2.2.4磋商文件的澄清、修改、补充等内容均以电子交易系统中明确的内容为准。当磋商文件、磋商文件的澄清、修改、补充等在同一内容的表述不一致时，以最后在电子交易系统中发出的磋商文件为准。</w:t>
      </w:r>
    </w:p>
    <w:bookmarkEnd w:id="117"/>
    <w:bookmarkEnd w:id="118"/>
    <w:bookmarkEnd w:id="119"/>
    <w:bookmarkEnd w:id="120"/>
    <w:bookmarkEnd w:id="121"/>
    <w:p>
      <w:pPr>
        <w:spacing w:line="360" w:lineRule="auto"/>
        <w:outlineLvl w:val="1"/>
        <w:rPr>
          <w:rFonts w:ascii="宋体" w:hAnsi="宋体"/>
          <w:b/>
          <w:sz w:val="24"/>
        </w:rPr>
      </w:pPr>
      <w:bookmarkStart w:id="122" w:name="_Toc152042322"/>
      <w:bookmarkStart w:id="123" w:name="_Toc292897320"/>
      <w:bookmarkStart w:id="124" w:name="_Toc144974514"/>
      <w:bookmarkStart w:id="125" w:name="_Toc6414"/>
      <w:bookmarkStart w:id="126" w:name="_Toc152045546"/>
      <w:bookmarkStart w:id="127" w:name="_Toc179632564"/>
      <w:r>
        <w:rPr>
          <w:rFonts w:hint="eastAsia" w:ascii="宋体" w:hAnsi="宋体"/>
          <w:b/>
          <w:sz w:val="24"/>
        </w:rPr>
        <w:t>3．响应文件</w:t>
      </w:r>
      <w:bookmarkEnd w:id="122"/>
      <w:bookmarkEnd w:id="123"/>
      <w:bookmarkEnd w:id="124"/>
      <w:bookmarkEnd w:id="125"/>
      <w:bookmarkEnd w:id="126"/>
      <w:bookmarkEnd w:id="127"/>
    </w:p>
    <w:p>
      <w:pPr>
        <w:spacing w:line="360" w:lineRule="auto"/>
        <w:outlineLvl w:val="2"/>
        <w:rPr>
          <w:rFonts w:ascii="宋体" w:hAnsi="宋体"/>
          <w:b/>
          <w:sz w:val="24"/>
        </w:rPr>
      </w:pPr>
      <w:bookmarkStart w:id="128" w:name="_Toc144974515"/>
      <w:bookmarkStart w:id="129" w:name="_Toc292897322"/>
      <w:bookmarkStart w:id="130" w:name="_Toc152042323"/>
      <w:bookmarkStart w:id="131" w:name="_Toc179632565"/>
      <w:bookmarkStart w:id="132" w:name="_Toc152045547"/>
      <w:r>
        <w:rPr>
          <w:rFonts w:hint="eastAsia" w:ascii="宋体" w:hAnsi="宋体"/>
          <w:b/>
          <w:sz w:val="24"/>
        </w:rPr>
        <w:t>3.1 响应文件的组成</w:t>
      </w:r>
      <w:bookmarkEnd w:id="128"/>
      <w:bookmarkEnd w:id="129"/>
      <w:bookmarkEnd w:id="130"/>
      <w:bookmarkEnd w:id="131"/>
      <w:bookmarkEnd w:id="132"/>
    </w:p>
    <w:p>
      <w:pPr>
        <w:spacing w:line="360" w:lineRule="auto"/>
        <w:ind w:firstLine="480" w:firstLineChars="200"/>
        <w:rPr>
          <w:rFonts w:hint="eastAsia" w:ascii="宋体" w:hAnsi="宋体"/>
          <w:sz w:val="24"/>
        </w:rPr>
      </w:pPr>
      <w:r>
        <w:rPr>
          <w:rFonts w:hint="eastAsia" w:ascii="宋体" w:hAnsi="宋体"/>
          <w:sz w:val="24"/>
        </w:rPr>
        <w:t>3.1.1响应文件应包括下列内容：</w:t>
      </w:r>
    </w:p>
    <w:p>
      <w:pPr>
        <w:spacing w:line="360" w:lineRule="auto"/>
        <w:ind w:firstLine="480" w:firstLineChars="200"/>
        <w:rPr>
          <w:rFonts w:ascii="宋体" w:hAnsi="宋体"/>
          <w:sz w:val="24"/>
        </w:rPr>
      </w:pPr>
      <w:bookmarkStart w:id="133" w:name="_Toc152045548"/>
      <w:bookmarkStart w:id="134" w:name="_Toc179632566"/>
      <w:bookmarkStart w:id="135" w:name="_Toc144974516"/>
      <w:bookmarkStart w:id="136" w:name="_Toc152042324"/>
      <w:bookmarkStart w:id="137" w:name="_Toc292897323"/>
      <w:r>
        <w:rPr>
          <w:rFonts w:hint="eastAsia" w:ascii="宋体" w:hAnsi="宋体"/>
          <w:sz w:val="24"/>
        </w:rPr>
        <w:t>（1）投标函及投标函附录；</w:t>
      </w:r>
    </w:p>
    <w:p>
      <w:pPr>
        <w:spacing w:line="360" w:lineRule="auto"/>
        <w:ind w:firstLine="480" w:firstLineChars="200"/>
        <w:rPr>
          <w:rFonts w:ascii="宋体" w:hAnsi="宋体"/>
          <w:sz w:val="24"/>
        </w:rPr>
      </w:pPr>
      <w:r>
        <w:rPr>
          <w:rFonts w:hint="eastAsia" w:ascii="宋体" w:hAnsi="宋体"/>
          <w:sz w:val="24"/>
        </w:rPr>
        <w:t>（2）法定代表人身份证明</w:t>
      </w:r>
      <w:r>
        <w:rPr>
          <w:rFonts w:hint="eastAsia" w:ascii="宋体" w:hAnsi="宋体"/>
          <w:sz w:val="24"/>
          <w:lang w:val="en-US" w:eastAsia="zh-CN"/>
        </w:rPr>
        <w:t>及</w:t>
      </w:r>
      <w:r>
        <w:rPr>
          <w:rFonts w:hint="eastAsia" w:ascii="宋体" w:hAnsi="宋体"/>
          <w:sz w:val="24"/>
        </w:rPr>
        <w:t>授权委托书</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分项报价一览表</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）已标价工程量清单；</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w:t>
      </w:r>
      <w:r>
        <w:rPr>
          <w:rFonts w:hint="eastAsia" w:ascii="宋体" w:hAnsi="宋体"/>
          <w:sz w:val="24"/>
          <w:lang w:val="en-US" w:eastAsia="zh-CN"/>
        </w:rPr>
        <w:t>技术服务方案</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w:t>
      </w:r>
      <w:r>
        <w:rPr>
          <w:rFonts w:hint="eastAsia" w:ascii="宋体" w:hAnsi="宋体"/>
          <w:sz w:val="24"/>
          <w:lang w:val="en-US" w:eastAsia="zh-CN"/>
        </w:rPr>
        <w:t>商务和技术偏离表</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7</w:t>
      </w:r>
      <w:r>
        <w:rPr>
          <w:rFonts w:hint="eastAsia" w:ascii="宋体" w:hAnsi="宋体"/>
          <w:sz w:val="24"/>
        </w:rPr>
        <w:t>）资格审查资料；</w:t>
      </w:r>
    </w:p>
    <w:p>
      <w:pPr>
        <w:spacing w:line="360" w:lineRule="auto"/>
        <w:ind w:firstLine="480" w:firstLineChars="200"/>
      </w:pPr>
      <w:r>
        <w:rPr>
          <w:rFonts w:hint="eastAsia" w:ascii="宋体" w:hAnsi="宋体"/>
          <w:sz w:val="24"/>
        </w:rPr>
        <w:t>（</w:t>
      </w:r>
      <w:r>
        <w:rPr>
          <w:rFonts w:ascii="宋体" w:hAnsi="宋体"/>
          <w:sz w:val="24"/>
        </w:rPr>
        <w:t>8</w:t>
      </w:r>
      <w:r>
        <w:rPr>
          <w:rFonts w:hint="eastAsia" w:ascii="宋体" w:hAnsi="宋体"/>
          <w:sz w:val="24"/>
        </w:rPr>
        <w:t>）其他材料。</w:t>
      </w:r>
    </w:p>
    <w:p>
      <w:pPr>
        <w:spacing w:line="360" w:lineRule="auto"/>
        <w:outlineLvl w:val="2"/>
        <w:rPr>
          <w:rFonts w:ascii="宋体" w:hAnsi="宋体"/>
          <w:b/>
          <w:sz w:val="24"/>
        </w:rPr>
      </w:pPr>
      <w:r>
        <w:rPr>
          <w:rFonts w:hint="eastAsia" w:ascii="宋体" w:hAnsi="宋体"/>
          <w:b/>
          <w:sz w:val="24"/>
        </w:rPr>
        <w:t>3.2 投标报价</w:t>
      </w:r>
      <w:bookmarkEnd w:id="133"/>
      <w:bookmarkEnd w:id="134"/>
      <w:bookmarkEnd w:id="135"/>
      <w:bookmarkEnd w:id="136"/>
      <w:bookmarkEnd w:id="137"/>
    </w:p>
    <w:p>
      <w:pPr>
        <w:spacing w:line="360" w:lineRule="auto"/>
        <w:ind w:firstLine="480" w:firstLineChars="200"/>
        <w:rPr>
          <w:rFonts w:ascii="宋体" w:hAnsi="宋体"/>
          <w:sz w:val="24"/>
        </w:rPr>
      </w:pPr>
      <w:bookmarkStart w:id="138" w:name="_Toc144974517"/>
      <w:bookmarkStart w:id="139" w:name="_Toc179632567"/>
      <w:bookmarkStart w:id="140" w:name="_Toc152045549"/>
      <w:bookmarkStart w:id="141" w:name="_Toc152042325"/>
      <w:bookmarkStart w:id="142" w:name="_Toc292897324"/>
      <w:r>
        <w:rPr>
          <w:rFonts w:hint="eastAsia" w:ascii="宋体" w:hAnsi="宋体"/>
          <w:sz w:val="24"/>
        </w:rPr>
        <w:t>3.2.1 供应商应按</w:t>
      </w:r>
      <w:r>
        <w:rPr>
          <w:rFonts w:hint="eastAsia" w:ascii="宋体" w:hAnsi="宋体"/>
          <w:bCs/>
          <w:sz w:val="24"/>
        </w:rPr>
        <w:t>第五章</w:t>
      </w:r>
      <w:r>
        <w:rPr>
          <w:rFonts w:hint="eastAsia" w:ascii="宋体" w:hAnsi="宋体"/>
          <w:sz w:val="24"/>
        </w:rPr>
        <w:t>“工程量清单”的要求填写相应表格。</w:t>
      </w:r>
    </w:p>
    <w:p>
      <w:pPr>
        <w:spacing w:line="360" w:lineRule="auto"/>
        <w:ind w:firstLine="480" w:firstLineChars="200"/>
        <w:rPr>
          <w:rFonts w:ascii="宋体" w:hAnsi="宋体"/>
          <w:sz w:val="24"/>
        </w:rPr>
      </w:pPr>
      <w:r>
        <w:rPr>
          <w:rFonts w:hint="eastAsia" w:ascii="宋体" w:hAnsi="宋体"/>
          <w:sz w:val="24"/>
        </w:rPr>
        <w:t>3.2.2 供应商在投标截止时间前修改投标函中的投标总报价，应同时修改</w:t>
      </w:r>
      <w:r>
        <w:rPr>
          <w:rFonts w:hint="eastAsia" w:ascii="宋体" w:hAnsi="宋体"/>
          <w:bCs/>
          <w:sz w:val="24"/>
        </w:rPr>
        <w:t>第五章</w:t>
      </w:r>
      <w:r>
        <w:rPr>
          <w:rFonts w:hint="eastAsia" w:ascii="宋体" w:hAnsi="宋体"/>
          <w:sz w:val="24"/>
        </w:rPr>
        <w:t>“工程量清单”中的相应报价。</w:t>
      </w:r>
    </w:p>
    <w:p>
      <w:pPr>
        <w:spacing w:line="360" w:lineRule="auto"/>
        <w:outlineLvl w:val="2"/>
        <w:rPr>
          <w:rFonts w:ascii="宋体" w:hAnsi="宋体"/>
          <w:b/>
          <w:sz w:val="24"/>
        </w:rPr>
      </w:pPr>
      <w:r>
        <w:rPr>
          <w:rFonts w:hint="eastAsia" w:ascii="宋体" w:hAnsi="宋体"/>
          <w:b/>
          <w:sz w:val="24"/>
        </w:rPr>
        <w:t>3.3 投标有效期</w:t>
      </w:r>
      <w:bookmarkEnd w:id="138"/>
      <w:bookmarkEnd w:id="139"/>
      <w:bookmarkEnd w:id="140"/>
      <w:bookmarkEnd w:id="141"/>
      <w:bookmarkEnd w:id="142"/>
    </w:p>
    <w:p>
      <w:pPr>
        <w:spacing w:line="360" w:lineRule="auto"/>
        <w:ind w:firstLine="480" w:firstLineChars="200"/>
        <w:rPr>
          <w:rFonts w:ascii="宋体" w:hAnsi="宋体"/>
          <w:sz w:val="24"/>
        </w:rPr>
      </w:pPr>
      <w:r>
        <w:rPr>
          <w:rFonts w:hint="eastAsia" w:ascii="宋体" w:hAnsi="宋体"/>
          <w:sz w:val="24"/>
        </w:rPr>
        <w:t>3.3.1在供应商须知前附表规定的投标有效期内，供应商不得要求撤销或修改其响应文件。</w:t>
      </w:r>
    </w:p>
    <w:p>
      <w:pPr>
        <w:spacing w:line="360" w:lineRule="auto"/>
        <w:ind w:firstLine="480" w:firstLineChars="200"/>
        <w:rPr>
          <w:rFonts w:ascii="宋体" w:hAnsi="宋体"/>
          <w:sz w:val="24"/>
        </w:rPr>
      </w:pPr>
      <w:r>
        <w:rPr>
          <w:rFonts w:hint="eastAsia" w:ascii="宋体" w:hAnsi="宋体"/>
          <w:sz w:val="24"/>
        </w:rPr>
        <w:t xml:space="preserve">3.3.2出现特殊情况需要延长投标有效期的，采购人在电子交易系统中通知所有供应商延长投标有效期。供应商同意延长的，应相应延长其投标保证金的有效期，但不得要求或被允许修改或撤销其响应文件；供应商拒绝延长的，其投标失效，但供应商有权收回其投标保证金。 </w:t>
      </w:r>
    </w:p>
    <w:p>
      <w:pPr>
        <w:spacing w:line="360" w:lineRule="auto"/>
        <w:outlineLvl w:val="2"/>
        <w:rPr>
          <w:rFonts w:ascii="宋体" w:hAnsi="宋体"/>
          <w:b/>
          <w:sz w:val="24"/>
        </w:rPr>
      </w:pPr>
      <w:bookmarkStart w:id="143" w:name="_Toc292897325"/>
      <w:bookmarkStart w:id="144" w:name="_Toc144974518"/>
      <w:bookmarkStart w:id="145" w:name="_Toc152042326"/>
      <w:bookmarkStart w:id="146" w:name="_Toc179632568"/>
      <w:bookmarkStart w:id="147" w:name="_Toc152045550"/>
      <w:r>
        <w:rPr>
          <w:rFonts w:hint="eastAsia" w:ascii="宋体" w:hAnsi="宋体"/>
          <w:b/>
          <w:sz w:val="24"/>
        </w:rPr>
        <w:t>3.4 投标保证金</w:t>
      </w:r>
      <w:bookmarkEnd w:id="143"/>
      <w:bookmarkEnd w:id="144"/>
      <w:bookmarkEnd w:id="145"/>
      <w:bookmarkEnd w:id="146"/>
      <w:bookmarkEnd w:id="147"/>
    </w:p>
    <w:p>
      <w:pPr>
        <w:spacing w:line="360" w:lineRule="auto"/>
        <w:ind w:firstLine="480" w:firstLineChars="200"/>
        <w:rPr>
          <w:rFonts w:hint="default" w:ascii="宋体" w:hAnsi="宋体" w:eastAsia="宋体"/>
          <w:sz w:val="24"/>
          <w:lang w:val="en-US" w:eastAsia="zh-CN"/>
        </w:rPr>
      </w:pPr>
      <w:bookmarkStart w:id="148" w:name="_Toc179632571"/>
      <w:bookmarkStart w:id="149" w:name="_Toc152042329"/>
      <w:bookmarkStart w:id="150" w:name="_Toc292897327"/>
      <w:bookmarkStart w:id="151" w:name="_Toc144974521"/>
      <w:bookmarkStart w:id="152" w:name="_Toc152045553"/>
      <w:r>
        <w:rPr>
          <w:rFonts w:hint="eastAsia" w:ascii="宋体" w:hAnsi="宋体"/>
          <w:sz w:val="24"/>
          <w:lang w:val="en-US" w:eastAsia="zh-CN"/>
        </w:rPr>
        <w:t>详见供应商须知前附表</w:t>
      </w:r>
    </w:p>
    <w:p>
      <w:pPr>
        <w:spacing w:line="360" w:lineRule="auto"/>
        <w:outlineLvl w:val="2"/>
        <w:rPr>
          <w:rFonts w:ascii="宋体" w:hAnsi="宋体"/>
          <w:b/>
          <w:sz w:val="24"/>
        </w:rPr>
      </w:pPr>
      <w:r>
        <w:rPr>
          <w:rFonts w:hint="eastAsia" w:ascii="宋体" w:hAnsi="宋体"/>
          <w:b/>
          <w:sz w:val="24"/>
        </w:rPr>
        <w:t>3.5 资格审查资料</w:t>
      </w:r>
    </w:p>
    <w:p>
      <w:pPr>
        <w:spacing w:line="360" w:lineRule="auto"/>
        <w:ind w:firstLine="480" w:firstLineChars="200"/>
        <w:rPr>
          <w:rFonts w:ascii="宋体" w:hAnsi="宋体"/>
          <w:sz w:val="24"/>
        </w:rPr>
      </w:pPr>
      <w:r>
        <w:rPr>
          <w:rFonts w:hint="eastAsia" w:ascii="宋体" w:hAnsi="宋体"/>
          <w:sz w:val="24"/>
        </w:rPr>
        <w:t>详见招标公告</w:t>
      </w:r>
    </w:p>
    <w:p>
      <w:pPr>
        <w:spacing w:line="360" w:lineRule="auto"/>
        <w:outlineLvl w:val="2"/>
        <w:rPr>
          <w:rFonts w:ascii="宋体" w:hAnsi="宋体"/>
          <w:b/>
          <w:sz w:val="24"/>
        </w:rPr>
      </w:pPr>
      <w:r>
        <w:rPr>
          <w:rFonts w:hint="eastAsia" w:ascii="宋体" w:hAnsi="宋体"/>
          <w:b/>
          <w:sz w:val="24"/>
        </w:rPr>
        <w:t>3.6</w:t>
      </w:r>
      <w:r>
        <w:rPr>
          <w:rFonts w:ascii="宋体" w:hAnsi="宋体"/>
          <w:b/>
          <w:sz w:val="24"/>
        </w:rPr>
        <w:t xml:space="preserve"> </w:t>
      </w:r>
      <w:r>
        <w:rPr>
          <w:rFonts w:hint="eastAsia" w:ascii="宋体" w:hAnsi="宋体"/>
          <w:b/>
          <w:sz w:val="24"/>
        </w:rPr>
        <w:t>备选投标方案</w:t>
      </w:r>
      <w:bookmarkEnd w:id="148"/>
      <w:bookmarkEnd w:id="149"/>
      <w:bookmarkEnd w:id="150"/>
      <w:bookmarkEnd w:id="151"/>
      <w:bookmarkEnd w:id="152"/>
      <w:r>
        <w:rPr>
          <w:rFonts w:hint="eastAsia" w:ascii="宋体" w:hAnsi="宋体"/>
          <w:b/>
          <w:sz w:val="24"/>
        </w:rPr>
        <w:t xml:space="preserve">  </w:t>
      </w:r>
    </w:p>
    <w:p>
      <w:pPr>
        <w:spacing w:line="360" w:lineRule="auto"/>
        <w:ind w:firstLine="480" w:firstLineChars="200"/>
        <w:rPr>
          <w:rFonts w:ascii="宋体" w:hAnsi="宋体"/>
          <w:sz w:val="24"/>
        </w:rPr>
      </w:pPr>
      <w:r>
        <w:rPr>
          <w:rFonts w:hint="eastAsia" w:ascii="宋体" w:hAnsi="宋体"/>
          <w:sz w:val="24"/>
        </w:rPr>
        <w:t>除供应商须知前附表另有规定外，供应商不得递交备选投标方案。允许供应商递交备选投标方案的，只有中标人所递交的备选投标方案方可予以考虑。磋商小组认为中标人的备选投标方案优于其按照磋商文件要求编制的投标方案的，采购人可以接受该备选投标方案。</w:t>
      </w:r>
    </w:p>
    <w:p>
      <w:pPr>
        <w:spacing w:line="360" w:lineRule="auto"/>
        <w:outlineLvl w:val="2"/>
        <w:rPr>
          <w:rFonts w:ascii="宋体" w:hAnsi="宋体"/>
          <w:b/>
          <w:sz w:val="24"/>
        </w:rPr>
      </w:pPr>
      <w:bookmarkStart w:id="153" w:name="_Toc179632572"/>
      <w:bookmarkStart w:id="154" w:name="_Toc152045554"/>
      <w:bookmarkStart w:id="155" w:name="_Toc152042330"/>
      <w:bookmarkStart w:id="156" w:name="_Toc144974522"/>
      <w:bookmarkStart w:id="157" w:name="_Toc292897328"/>
      <w:r>
        <w:rPr>
          <w:rFonts w:hint="eastAsia" w:ascii="宋体" w:hAnsi="宋体"/>
          <w:b/>
          <w:sz w:val="24"/>
        </w:rPr>
        <w:t>3.7 投标文件的编制</w:t>
      </w:r>
      <w:bookmarkEnd w:id="153"/>
      <w:bookmarkEnd w:id="154"/>
      <w:bookmarkEnd w:id="155"/>
      <w:bookmarkEnd w:id="156"/>
      <w:bookmarkEnd w:id="157"/>
    </w:p>
    <w:p>
      <w:pPr>
        <w:spacing w:line="360" w:lineRule="auto"/>
        <w:ind w:firstLine="480" w:firstLineChars="200"/>
        <w:rPr>
          <w:rFonts w:ascii="宋体" w:hAnsi="宋体"/>
          <w:sz w:val="24"/>
        </w:rPr>
      </w:pPr>
      <w:r>
        <w:rPr>
          <w:rFonts w:hint="eastAsia" w:ascii="宋体" w:hAnsi="宋体"/>
          <w:sz w:val="24"/>
        </w:rPr>
        <w:t>3.7.1响应文件应按 “响应文件格式”进行编写，如有必要，可以增加附页，作为响应文件的组成部分。其中，投标函附录在满足磋商文件实质性要求的基础上，可以提出比磋商文件要求更有利于采购人的承诺。</w:t>
      </w:r>
    </w:p>
    <w:p>
      <w:pPr>
        <w:spacing w:line="360" w:lineRule="auto"/>
        <w:ind w:firstLine="480" w:firstLineChars="200"/>
        <w:rPr>
          <w:rFonts w:ascii="宋体" w:hAnsi="宋体"/>
          <w:sz w:val="24"/>
        </w:rPr>
      </w:pPr>
      <w:r>
        <w:rPr>
          <w:rFonts w:hint="eastAsia" w:ascii="宋体" w:hAnsi="宋体"/>
          <w:sz w:val="24"/>
        </w:rPr>
        <w:t>3.7.2响应文件应当对磋商文件有关工期、磋商有效期、质量要求、磋商范围等实质性内容作出响应。</w:t>
      </w:r>
    </w:p>
    <w:p>
      <w:pPr>
        <w:spacing w:line="360" w:lineRule="auto"/>
        <w:outlineLvl w:val="1"/>
        <w:rPr>
          <w:rFonts w:ascii="宋体" w:hAnsi="宋体"/>
          <w:b/>
          <w:sz w:val="24"/>
        </w:rPr>
      </w:pPr>
      <w:bookmarkStart w:id="158" w:name="_Toc144974523"/>
      <w:bookmarkStart w:id="159" w:name="_Toc292897329"/>
      <w:bookmarkStart w:id="160" w:name="_Toc152045555"/>
      <w:bookmarkStart w:id="161" w:name="_Toc152042331"/>
      <w:bookmarkStart w:id="162" w:name="_Toc16611"/>
      <w:bookmarkStart w:id="163" w:name="_Toc179632573"/>
      <w:r>
        <w:rPr>
          <w:rFonts w:hint="eastAsia" w:ascii="宋体" w:hAnsi="宋体"/>
          <w:b/>
          <w:sz w:val="24"/>
        </w:rPr>
        <w:t>4．投标</w:t>
      </w:r>
      <w:bookmarkEnd w:id="158"/>
      <w:bookmarkEnd w:id="159"/>
      <w:bookmarkEnd w:id="160"/>
      <w:bookmarkEnd w:id="161"/>
      <w:bookmarkEnd w:id="162"/>
      <w:bookmarkEnd w:id="163"/>
    </w:p>
    <w:p>
      <w:pPr>
        <w:spacing w:line="360" w:lineRule="auto"/>
        <w:ind w:firstLine="480" w:firstLineChars="200"/>
        <w:rPr>
          <w:rFonts w:ascii="宋体" w:hAnsi="宋体"/>
          <w:sz w:val="24"/>
        </w:rPr>
      </w:pPr>
      <w:bookmarkStart w:id="164" w:name="_Toc292897331"/>
      <w:bookmarkStart w:id="165" w:name="_Toc144974525"/>
      <w:bookmarkStart w:id="166" w:name="_Toc152042333"/>
      <w:bookmarkStart w:id="167" w:name="_Toc25863"/>
      <w:bookmarkStart w:id="168" w:name="_Toc179632575"/>
      <w:bookmarkStart w:id="169" w:name="_Toc152045557"/>
      <w:r>
        <w:rPr>
          <w:rFonts w:hint="eastAsia" w:ascii="宋体" w:hAnsi="宋体"/>
          <w:sz w:val="24"/>
        </w:rPr>
        <w:t xml:space="preserve">4.1 </w:t>
      </w:r>
      <w:bookmarkEnd w:id="164"/>
      <w:bookmarkEnd w:id="165"/>
      <w:bookmarkEnd w:id="166"/>
      <w:bookmarkEnd w:id="167"/>
      <w:bookmarkEnd w:id="168"/>
      <w:bookmarkEnd w:id="169"/>
      <w:bookmarkStart w:id="170" w:name="_Toc292897332"/>
      <w:bookmarkStart w:id="171" w:name="_Toc152045559"/>
      <w:bookmarkStart w:id="172" w:name="_Toc144974527"/>
      <w:bookmarkStart w:id="173" w:name="_Toc179632577"/>
      <w:bookmarkStart w:id="174" w:name="_Toc152042335"/>
      <w:r>
        <w:rPr>
          <w:rFonts w:hint="eastAsia" w:ascii="宋体" w:hAnsi="宋体"/>
          <w:sz w:val="24"/>
        </w:rPr>
        <w:t>本项目采用网上远程异地开标解密，详细要求及注意事项请各供应商详细阅读平顶山公共资源交易中心网站“平顶山市公共资源交易中心关于恢复重大紧急项目交易服务的公告”，因各供应商未仔细阅读造成的损失，各供应商自行承担。</w:t>
      </w:r>
    </w:p>
    <w:p>
      <w:pPr>
        <w:spacing w:line="360" w:lineRule="auto"/>
        <w:outlineLvl w:val="1"/>
        <w:rPr>
          <w:rFonts w:ascii="宋体" w:hAnsi="宋体"/>
          <w:b/>
          <w:sz w:val="24"/>
        </w:rPr>
      </w:pPr>
      <w:bookmarkStart w:id="175" w:name="_Toc21914"/>
      <w:r>
        <w:rPr>
          <w:rFonts w:hint="eastAsia" w:ascii="宋体" w:hAnsi="宋体"/>
          <w:b/>
          <w:sz w:val="24"/>
        </w:rPr>
        <w:t>5．开标</w:t>
      </w:r>
      <w:bookmarkEnd w:id="170"/>
      <w:bookmarkEnd w:id="171"/>
      <w:bookmarkEnd w:id="172"/>
      <w:bookmarkEnd w:id="173"/>
      <w:bookmarkEnd w:id="174"/>
      <w:bookmarkEnd w:id="175"/>
    </w:p>
    <w:p>
      <w:pPr>
        <w:spacing w:line="360" w:lineRule="auto"/>
        <w:ind w:firstLine="482" w:firstLineChars="200"/>
        <w:rPr>
          <w:rFonts w:ascii="宋体" w:hAnsi="宋体"/>
          <w:b/>
          <w:sz w:val="24"/>
        </w:rPr>
      </w:pPr>
      <w:bookmarkStart w:id="176" w:name="_Toc152045560"/>
      <w:bookmarkStart w:id="177" w:name="_Toc292897333"/>
      <w:bookmarkStart w:id="178" w:name="_Toc144974528"/>
      <w:bookmarkStart w:id="179" w:name="_Toc179632578"/>
      <w:bookmarkStart w:id="180" w:name="_Toc152042336"/>
      <w:r>
        <w:rPr>
          <w:rFonts w:hint="eastAsia" w:ascii="宋体" w:hAnsi="宋体"/>
          <w:b/>
          <w:sz w:val="24"/>
        </w:rPr>
        <w:t>5.1 开标时间和地点</w:t>
      </w:r>
      <w:bookmarkEnd w:id="176"/>
      <w:bookmarkEnd w:id="177"/>
      <w:bookmarkEnd w:id="178"/>
      <w:bookmarkEnd w:id="179"/>
      <w:bookmarkEnd w:id="180"/>
    </w:p>
    <w:p>
      <w:pPr>
        <w:spacing w:line="360" w:lineRule="auto"/>
        <w:ind w:firstLine="480" w:firstLineChars="200"/>
        <w:rPr>
          <w:rFonts w:ascii="宋体" w:hAnsi="宋体"/>
          <w:b/>
          <w:bCs/>
          <w:sz w:val="24"/>
        </w:rPr>
      </w:pPr>
      <w:bookmarkStart w:id="181" w:name="_Toc152042337"/>
      <w:bookmarkStart w:id="182" w:name="_Toc152045561"/>
      <w:bookmarkStart w:id="183" w:name="_Toc292897334"/>
      <w:bookmarkStart w:id="184" w:name="_Toc144974529"/>
      <w:bookmarkStart w:id="185" w:name="_Toc179632579"/>
      <w:r>
        <w:rPr>
          <w:rFonts w:hint="eastAsia" w:ascii="宋体" w:hAnsi="宋体"/>
          <w:sz w:val="24"/>
        </w:rPr>
        <w:t>采购人在供应商须知前附表第</w:t>
      </w:r>
      <w:r>
        <w:rPr>
          <w:rFonts w:ascii="宋体" w:hAnsi="宋体"/>
          <w:sz w:val="24"/>
        </w:rPr>
        <w:t>17</w:t>
      </w:r>
      <w:r>
        <w:rPr>
          <w:rFonts w:hint="eastAsia" w:ascii="宋体" w:hAnsi="宋体"/>
          <w:sz w:val="24"/>
        </w:rPr>
        <w:t>项规定的投标截止时间（开标时间）和供应商须知前附表规定的地点进行不见面开标。</w:t>
      </w:r>
    </w:p>
    <w:bookmarkEnd w:id="181"/>
    <w:bookmarkEnd w:id="182"/>
    <w:bookmarkEnd w:id="183"/>
    <w:bookmarkEnd w:id="184"/>
    <w:bookmarkEnd w:id="185"/>
    <w:p>
      <w:pPr>
        <w:spacing w:line="360" w:lineRule="auto"/>
        <w:outlineLvl w:val="1"/>
        <w:rPr>
          <w:rFonts w:ascii="宋体" w:hAnsi="宋体"/>
          <w:b/>
          <w:sz w:val="24"/>
        </w:rPr>
      </w:pPr>
      <w:bookmarkStart w:id="186" w:name="_Toc179632580"/>
      <w:bookmarkStart w:id="187" w:name="_Toc26501"/>
      <w:bookmarkStart w:id="188" w:name="_Toc144974530"/>
      <w:bookmarkStart w:id="189" w:name="_Toc152045562"/>
      <w:bookmarkStart w:id="190" w:name="_Toc152042338"/>
      <w:bookmarkStart w:id="191" w:name="_Toc292897335"/>
      <w:r>
        <w:rPr>
          <w:rFonts w:hint="eastAsia" w:ascii="宋体" w:hAnsi="宋体"/>
          <w:b/>
          <w:sz w:val="24"/>
        </w:rPr>
        <w:t>6．评标</w:t>
      </w:r>
      <w:bookmarkEnd w:id="186"/>
      <w:bookmarkEnd w:id="187"/>
      <w:bookmarkEnd w:id="188"/>
      <w:bookmarkEnd w:id="189"/>
      <w:bookmarkEnd w:id="190"/>
      <w:bookmarkEnd w:id="191"/>
    </w:p>
    <w:p>
      <w:pPr>
        <w:spacing w:line="360" w:lineRule="auto"/>
        <w:ind w:firstLine="482" w:firstLineChars="200"/>
        <w:outlineLvl w:val="2"/>
        <w:rPr>
          <w:rFonts w:ascii="宋体" w:hAnsi="宋体"/>
          <w:b/>
          <w:sz w:val="24"/>
        </w:rPr>
      </w:pPr>
      <w:bookmarkStart w:id="192" w:name="_Toc152045563"/>
      <w:bookmarkStart w:id="193" w:name="_Toc292897336"/>
      <w:bookmarkStart w:id="194" w:name="_Toc152042339"/>
      <w:bookmarkStart w:id="195" w:name="_Toc144974531"/>
      <w:bookmarkStart w:id="196" w:name="_Toc179632581"/>
      <w:r>
        <w:rPr>
          <w:rFonts w:hint="eastAsia" w:ascii="宋体" w:hAnsi="宋体"/>
          <w:b/>
          <w:sz w:val="24"/>
        </w:rPr>
        <w:t>6.1 磋商小组</w:t>
      </w:r>
      <w:bookmarkEnd w:id="192"/>
      <w:bookmarkEnd w:id="193"/>
      <w:bookmarkEnd w:id="194"/>
      <w:bookmarkEnd w:id="195"/>
      <w:bookmarkEnd w:id="196"/>
    </w:p>
    <w:p>
      <w:pPr>
        <w:spacing w:line="360" w:lineRule="auto"/>
        <w:ind w:firstLine="480" w:firstLineChars="200"/>
        <w:rPr>
          <w:rFonts w:ascii="宋体" w:hAnsi="宋体"/>
          <w:sz w:val="24"/>
        </w:rPr>
      </w:pPr>
      <w:r>
        <w:rPr>
          <w:rFonts w:hint="eastAsia" w:ascii="宋体" w:hAnsi="宋体"/>
          <w:sz w:val="24"/>
        </w:rPr>
        <w:t>6.1.1评标由采购人依法组建的磋商小组负责。磋商小组构成：磋商小组由采购人代表和评审专家共3人以上单数组成，其中评审专家人数不得少于磋商小组成员总数的2/3。</w:t>
      </w:r>
    </w:p>
    <w:p>
      <w:pPr>
        <w:spacing w:line="360" w:lineRule="auto"/>
        <w:ind w:firstLine="480" w:firstLineChars="200"/>
        <w:rPr>
          <w:rFonts w:ascii="宋体" w:hAnsi="宋体"/>
          <w:sz w:val="24"/>
        </w:rPr>
      </w:pPr>
      <w:r>
        <w:rPr>
          <w:rFonts w:hint="eastAsia" w:ascii="宋体" w:hAnsi="宋体"/>
          <w:sz w:val="24"/>
        </w:rPr>
        <w:t>上述规定为一组评标专家组成方式，根据项目标段数量和评标工作量，可由多组专家完成评审，但一个标段只能由一组专家评审。</w:t>
      </w:r>
    </w:p>
    <w:p>
      <w:pPr>
        <w:spacing w:line="360" w:lineRule="auto"/>
        <w:ind w:firstLine="480" w:firstLineChars="200"/>
        <w:rPr>
          <w:rFonts w:ascii="宋体" w:hAnsi="宋体"/>
          <w:sz w:val="24"/>
        </w:rPr>
      </w:pPr>
      <w:bookmarkStart w:id="197" w:name="_Toc179632582"/>
      <w:bookmarkStart w:id="198" w:name="_Toc152042340"/>
      <w:bookmarkStart w:id="199" w:name="_Toc152045564"/>
      <w:bookmarkStart w:id="200" w:name="_Toc292897337"/>
      <w:bookmarkStart w:id="201" w:name="_Toc144974532"/>
      <w:r>
        <w:rPr>
          <w:rFonts w:hint="eastAsia" w:ascii="宋体" w:hAnsi="宋体"/>
          <w:sz w:val="24"/>
        </w:rPr>
        <w:t>6.1.2 磋商小组成员有下列情形之一的，应当回避：</w:t>
      </w:r>
    </w:p>
    <w:p>
      <w:pPr>
        <w:spacing w:line="360" w:lineRule="auto"/>
        <w:ind w:firstLine="480" w:firstLineChars="200"/>
        <w:rPr>
          <w:rFonts w:ascii="宋体" w:hAnsi="宋体"/>
          <w:sz w:val="24"/>
        </w:rPr>
      </w:pPr>
      <w:r>
        <w:rPr>
          <w:rFonts w:hint="eastAsia" w:ascii="宋体" w:hAnsi="宋体"/>
          <w:sz w:val="24"/>
        </w:rPr>
        <w:t>（1）采购人或供应商的主要负责人的近亲属；</w:t>
      </w:r>
    </w:p>
    <w:p>
      <w:pPr>
        <w:spacing w:line="360" w:lineRule="auto"/>
        <w:ind w:firstLine="480" w:firstLineChars="200"/>
        <w:rPr>
          <w:rFonts w:ascii="宋体" w:hAnsi="宋体"/>
          <w:sz w:val="24"/>
        </w:rPr>
      </w:pPr>
      <w:r>
        <w:rPr>
          <w:rFonts w:hint="eastAsia" w:ascii="宋体" w:hAnsi="宋体"/>
          <w:sz w:val="24"/>
        </w:rPr>
        <w:t>（2）项目主管部门或者行政监督部门的人员；</w:t>
      </w:r>
    </w:p>
    <w:p>
      <w:pPr>
        <w:spacing w:line="360" w:lineRule="auto"/>
        <w:ind w:firstLine="480" w:firstLineChars="200"/>
        <w:rPr>
          <w:rFonts w:ascii="宋体" w:hAnsi="宋体"/>
          <w:sz w:val="24"/>
        </w:rPr>
      </w:pPr>
      <w:r>
        <w:rPr>
          <w:rFonts w:hint="eastAsia" w:ascii="宋体" w:hAnsi="宋体"/>
          <w:sz w:val="24"/>
        </w:rPr>
        <w:t>（3）与供应商有经济利益关系，可能影响对投标公正评审的；</w:t>
      </w:r>
    </w:p>
    <w:p>
      <w:pPr>
        <w:spacing w:line="360" w:lineRule="auto"/>
        <w:ind w:firstLine="480" w:firstLineChars="200"/>
        <w:rPr>
          <w:rFonts w:ascii="宋体" w:hAnsi="宋体"/>
          <w:sz w:val="24"/>
        </w:rPr>
      </w:pPr>
      <w:r>
        <w:rPr>
          <w:rFonts w:hint="eastAsia" w:ascii="宋体" w:hAnsi="宋体"/>
          <w:sz w:val="24"/>
        </w:rPr>
        <w:t>（4）曾因在招标、评标以及其他与招标投标有关活动中从事违法行为而受过行政处罚或刑事处罚的。</w:t>
      </w:r>
    </w:p>
    <w:p>
      <w:pPr>
        <w:spacing w:line="360" w:lineRule="auto"/>
        <w:ind w:firstLine="482" w:firstLineChars="200"/>
        <w:outlineLvl w:val="2"/>
        <w:rPr>
          <w:rFonts w:ascii="宋体" w:hAnsi="宋体"/>
          <w:b/>
          <w:sz w:val="24"/>
        </w:rPr>
      </w:pPr>
      <w:r>
        <w:rPr>
          <w:rFonts w:hint="eastAsia" w:ascii="宋体" w:hAnsi="宋体"/>
          <w:b/>
          <w:sz w:val="24"/>
        </w:rPr>
        <w:t>6.2 评标原则</w:t>
      </w:r>
      <w:bookmarkEnd w:id="197"/>
      <w:bookmarkEnd w:id="198"/>
      <w:bookmarkEnd w:id="199"/>
      <w:bookmarkEnd w:id="200"/>
      <w:bookmarkEnd w:id="201"/>
      <w:r>
        <w:rPr>
          <w:rFonts w:hint="eastAsia" w:ascii="宋体" w:hAnsi="宋体"/>
          <w:b/>
          <w:sz w:val="24"/>
        </w:rPr>
        <w:tab/>
      </w:r>
    </w:p>
    <w:p>
      <w:pPr>
        <w:spacing w:line="360" w:lineRule="auto"/>
        <w:ind w:firstLine="480" w:firstLineChars="200"/>
        <w:rPr>
          <w:rFonts w:ascii="宋体" w:hAnsi="宋体"/>
          <w:sz w:val="24"/>
        </w:rPr>
      </w:pPr>
      <w:r>
        <w:rPr>
          <w:rFonts w:hint="eastAsia" w:ascii="宋体" w:hAnsi="宋体"/>
          <w:sz w:val="24"/>
        </w:rPr>
        <w:t>评标活动遵循公平、公正、科学和择优的原则。</w:t>
      </w:r>
    </w:p>
    <w:p>
      <w:pPr>
        <w:spacing w:line="360" w:lineRule="auto"/>
        <w:ind w:firstLine="482" w:firstLineChars="200"/>
        <w:outlineLvl w:val="2"/>
        <w:rPr>
          <w:rFonts w:ascii="宋体" w:hAnsi="宋体"/>
          <w:b/>
          <w:sz w:val="24"/>
        </w:rPr>
      </w:pPr>
      <w:bookmarkStart w:id="202" w:name="_Toc292897338"/>
      <w:bookmarkStart w:id="203" w:name="_Toc179632583"/>
      <w:bookmarkStart w:id="204" w:name="_Toc152042341"/>
      <w:bookmarkStart w:id="205" w:name="_Toc152045565"/>
      <w:bookmarkStart w:id="206" w:name="_Toc144974533"/>
      <w:r>
        <w:rPr>
          <w:rFonts w:hint="eastAsia" w:ascii="宋体" w:hAnsi="宋体"/>
          <w:b/>
          <w:sz w:val="24"/>
        </w:rPr>
        <w:t>6.3 评标</w:t>
      </w:r>
      <w:bookmarkEnd w:id="202"/>
      <w:bookmarkEnd w:id="203"/>
      <w:bookmarkEnd w:id="204"/>
      <w:bookmarkEnd w:id="205"/>
      <w:bookmarkEnd w:id="206"/>
    </w:p>
    <w:p>
      <w:pPr>
        <w:spacing w:line="360" w:lineRule="auto"/>
        <w:ind w:firstLine="480" w:firstLineChars="200"/>
        <w:rPr>
          <w:rFonts w:ascii="宋体" w:hAnsi="宋体"/>
          <w:sz w:val="24"/>
        </w:rPr>
      </w:pPr>
      <w:r>
        <w:rPr>
          <w:rFonts w:hint="eastAsia" w:ascii="宋体" w:hAnsi="宋体"/>
          <w:sz w:val="24"/>
        </w:rPr>
        <w:t>磋商小组按照第三章“评标办法”规定的方法、评审因素、标准和程序对响应文件进行评审。第三章“评标办法”没有规定的方法、评审因素和标准，不作为评标依据。</w:t>
      </w:r>
    </w:p>
    <w:p>
      <w:pPr>
        <w:spacing w:line="360" w:lineRule="auto"/>
        <w:outlineLvl w:val="1"/>
        <w:rPr>
          <w:rFonts w:ascii="宋体" w:hAnsi="宋体"/>
          <w:b/>
          <w:sz w:val="24"/>
        </w:rPr>
      </w:pPr>
      <w:bookmarkStart w:id="207" w:name="_Toc144974534"/>
      <w:bookmarkStart w:id="208" w:name="_Toc179632584"/>
      <w:bookmarkStart w:id="209" w:name="_Toc9092"/>
      <w:bookmarkStart w:id="210" w:name="_Toc292897339"/>
      <w:bookmarkStart w:id="211" w:name="_Toc152042342"/>
      <w:bookmarkStart w:id="212" w:name="_Toc152045566"/>
      <w:r>
        <w:rPr>
          <w:rFonts w:hint="eastAsia" w:ascii="宋体" w:hAnsi="宋体"/>
          <w:b/>
          <w:sz w:val="24"/>
        </w:rPr>
        <w:t>7．合同授予</w:t>
      </w:r>
      <w:bookmarkEnd w:id="207"/>
      <w:bookmarkEnd w:id="208"/>
      <w:bookmarkEnd w:id="209"/>
      <w:bookmarkEnd w:id="210"/>
      <w:bookmarkEnd w:id="211"/>
      <w:bookmarkEnd w:id="212"/>
    </w:p>
    <w:p>
      <w:pPr>
        <w:spacing w:line="360" w:lineRule="auto"/>
        <w:ind w:firstLine="482" w:firstLineChars="200"/>
        <w:outlineLvl w:val="2"/>
        <w:rPr>
          <w:rFonts w:ascii="宋体" w:hAnsi="宋体"/>
          <w:b/>
          <w:sz w:val="24"/>
        </w:rPr>
      </w:pPr>
      <w:bookmarkStart w:id="213" w:name="_Toc152045567"/>
      <w:bookmarkStart w:id="214" w:name="_Toc144974535"/>
      <w:bookmarkStart w:id="215" w:name="_Toc152042343"/>
      <w:bookmarkStart w:id="216" w:name="_Toc292897340"/>
      <w:bookmarkStart w:id="217" w:name="_Toc179632585"/>
      <w:r>
        <w:rPr>
          <w:rFonts w:hint="eastAsia" w:ascii="宋体" w:hAnsi="宋体"/>
          <w:b/>
          <w:sz w:val="24"/>
        </w:rPr>
        <w:t>7.1 定标方式</w:t>
      </w:r>
      <w:bookmarkEnd w:id="213"/>
      <w:bookmarkEnd w:id="214"/>
      <w:bookmarkEnd w:id="215"/>
      <w:bookmarkEnd w:id="216"/>
      <w:bookmarkEnd w:id="217"/>
    </w:p>
    <w:p>
      <w:pPr>
        <w:spacing w:line="360" w:lineRule="auto"/>
        <w:ind w:firstLine="480" w:firstLineChars="200"/>
        <w:rPr>
          <w:rFonts w:ascii="宋体" w:hAnsi="宋体"/>
          <w:sz w:val="24"/>
        </w:rPr>
      </w:pPr>
      <w:bookmarkStart w:id="218" w:name="_Toc144974536"/>
      <w:bookmarkStart w:id="219" w:name="_Toc152045568"/>
      <w:bookmarkStart w:id="220" w:name="_Toc292897341"/>
      <w:bookmarkStart w:id="221" w:name="_Toc179632586"/>
      <w:bookmarkStart w:id="222" w:name="_Toc152042344"/>
      <w:r>
        <w:rPr>
          <w:rFonts w:hint="eastAsia" w:ascii="宋体" w:hAnsi="宋体"/>
          <w:sz w:val="24"/>
        </w:rPr>
        <w:t>除供应商须知前附表规定磋商小组直接确定中标人外，采购人依据磋商小组推荐的中标候选人确定中标人，磋商小组推荐中标候选人的人数见供应商须知前附表。</w:t>
      </w:r>
    </w:p>
    <w:p>
      <w:pPr>
        <w:spacing w:line="360" w:lineRule="auto"/>
        <w:ind w:firstLine="482" w:firstLineChars="200"/>
        <w:outlineLvl w:val="2"/>
        <w:rPr>
          <w:rFonts w:ascii="宋体" w:hAnsi="宋体"/>
          <w:b/>
          <w:sz w:val="24"/>
        </w:rPr>
      </w:pPr>
      <w:r>
        <w:rPr>
          <w:rFonts w:hint="eastAsia" w:ascii="宋体" w:hAnsi="宋体"/>
          <w:b/>
          <w:sz w:val="24"/>
        </w:rPr>
        <w:t>7.2 中标通知</w:t>
      </w:r>
      <w:bookmarkEnd w:id="218"/>
      <w:bookmarkEnd w:id="219"/>
      <w:bookmarkEnd w:id="220"/>
      <w:bookmarkEnd w:id="221"/>
      <w:bookmarkEnd w:id="222"/>
    </w:p>
    <w:p>
      <w:pPr>
        <w:spacing w:line="360" w:lineRule="auto"/>
        <w:ind w:firstLine="480" w:firstLineChars="200"/>
        <w:rPr>
          <w:rFonts w:ascii="宋体" w:hAnsi="宋体"/>
          <w:sz w:val="24"/>
        </w:rPr>
      </w:pPr>
      <w:r>
        <w:rPr>
          <w:rFonts w:hint="eastAsia" w:ascii="宋体" w:hAnsi="宋体"/>
          <w:sz w:val="24"/>
        </w:rPr>
        <w:t>在本章第3.3款规定的投标有效期内，采购人以书面形式向中标人发出中标通知书，同时将中标结果通知未中标的供应商。</w:t>
      </w:r>
    </w:p>
    <w:p>
      <w:pPr>
        <w:spacing w:line="360" w:lineRule="auto"/>
        <w:ind w:firstLine="482" w:firstLineChars="200"/>
        <w:outlineLvl w:val="2"/>
        <w:rPr>
          <w:rFonts w:ascii="宋体" w:hAnsi="宋体"/>
          <w:b/>
          <w:sz w:val="24"/>
        </w:rPr>
      </w:pPr>
      <w:r>
        <w:rPr>
          <w:rFonts w:hint="eastAsia" w:ascii="宋体" w:hAnsi="宋体"/>
          <w:b/>
          <w:sz w:val="24"/>
        </w:rPr>
        <w:t>7.3 履约担保</w:t>
      </w:r>
    </w:p>
    <w:p>
      <w:pPr>
        <w:spacing w:line="360" w:lineRule="auto"/>
        <w:ind w:firstLine="480" w:firstLineChars="200"/>
        <w:rPr>
          <w:rFonts w:ascii="宋体" w:hAnsi="宋体"/>
          <w:sz w:val="24"/>
        </w:rPr>
      </w:pPr>
      <w:bookmarkStart w:id="223" w:name="_Toc152045570"/>
      <w:bookmarkStart w:id="224" w:name="_Toc179632588"/>
      <w:bookmarkStart w:id="225" w:name="_Toc144974538"/>
      <w:bookmarkStart w:id="226" w:name="_Toc152042346"/>
      <w:bookmarkStart w:id="227" w:name="_Toc292897342"/>
      <w:r>
        <w:rPr>
          <w:rFonts w:hint="eastAsia" w:ascii="宋体" w:hAnsi="宋体"/>
          <w:sz w:val="24"/>
        </w:rPr>
        <w:t>7.3.1在签订合同前，中标人应按供应商须知前附表规定的金额、担保形式和磋商文件第四章“合同条款及格式”规定的履约担保格式向采购人提交履约担保。联合体中标的，其履约担保由牵头人递交，并应符合供应商须知前附表规定的金额、担保形式和磋商文件第四章“合同条款及格式”规定的履约担保格式要求。</w:t>
      </w:r>
    </w:p>
    <w:p>
      <w:pPr>
        <w:spacing w:line="460" w:lineRule="exact"/>
        <w:ind w:firstLine="480" w:firstLineChars="200"/>
        <w:rPr>
          <w:rFonts w:ascii="宋体" w:hAnsi="宋体" w:cs="宋体"/>
          <w:color w:val="000000"/>
          <w:sz w:val="24"/>
        </w:rPr>
      </w:pPr>
      <w:r>
        <w:rPr>
          <w:rFonts w:hint="eastAsia" w:ascii="宋体" w:hAnsi="宋体" w:cs="宋体"/>
          <w:color w:val="000000"/>
          <w:sz w:val="24"/>
        </w:rPr>
        <w:t>7.3.2 中标人不能按本章第7.3.1项要求提交履约担保的，视为放弃中标，其投标保证金不予退还，给采购人造成的损失超过投标保证金数额的，中标人还应当对超过部分予以赔偿。</w:t>
      </w:r>
    </w:p>
    <w:p>
      <w:pPr>
        <w:spacing w:line="360" w:lineRule="auto"/>
        <w:ind w:firstLine="482" w:firstLineChars="200"/>
        <w:outlineLvl w:val="2"/>
        <w:rPr>
          <w:rFonts w:ascii="宋体" w:hAnsi="宋体"/>
          <w:b/>
          <w:sz w:val="24"/>
        </w:rPr>
      </w:pPr>
      <w:r>
        <w:rPr>
          <w:rFonts w:hint="eastAsia" w:ascii="宋体" w:hAnsi="宋体"/>
          <w:b/>
          <w:sz w:val="24"/>
        </w:rPr>
        <w:t>7.4</w:t>
      </w:r>
      <w:r>
        <w:rPr>
          <w:rFonts w:ascii="宋体" w:hAnsi="宋体"/>
          <w:b/>
          <w:sz w:val="24"/>
        </w:rPr>
        <w:t xml:space="preserve"> </w:t>
      </w:r>
      <w:r>
        <w:rPr>
          <w:rFonts w:hint="eastAsia" w:ascii="宋体" w:hAnsi="宋体"/>
          <w:b/>
          <w:sz w:val="24"/>
        </w:rPr>
        <w:t>签订合同</w:t>
      </w:r>
      <w:bookmarkEnd w:id="223"/>
      <w:bookmarkEnd w:id="224"/>
      <w:bookmarkEnd w:id="225"/>
      <w:bookmarkEnd w:id="226"/>
      <w:bookmarkEnd w:id="227"/>
    </w:p>
    <w:p>
      <w:pPr>
        <w:spacing w:line="360" w:lineRule="auto"/>
        <w:ind w:firstLine="480" w:firstLineChars="200"/>
        <w:rPr>
          <w:rFonts w:ascii="宋体" w:hAnsi="宋体"/>
          <w:sz w:val="24"/>
        </w:rPr>
      </w:pPr>
      <w:r>
        <w:rPr>
          <w:rFonts w:hint="eastAsia" w:ascii="宋体" w:hAnsi="宋体"/>
          <w:sz w:val="24"/>
        </w:rPr>
        <w:t>7.4.1采购人和中标人应当自中标通知书发出之日起15天内，根据磋商文件和中标人的响应文件订立书面合同。中标人无正当理由拒签合同的，采购人取消其中标资格，其投标保证金不予退还；给采购人造成的损失超过投标保证金数额的，中标人还应当对超过部分予以赔偿。</w:t>
      </w:r>
    </w:p>
    <w:p>
      <w:pPr>
        <w:spacing w:line="360" w:lineRule="auto"/>
        <w:ind w:firstLine="480" w:firstLineChars="200"/>
        <w:rPr>
          <w:rFonts w:ascii="宋体" w:hAnsi="宋体"/>
          <w:b/>
          <w:sz w:val="24"/>
        </w:rPr>
      </w:pPr>
      <w:r>
        <w:rPr>
          <w:rFonts w:hint="eastAsia" w:ascii="宋体" w:hAnsi="宋体" w:cs="宋体"/>
          <w:color w:val="000000"/>
          <w:sz w:val="24"/>
        </w:rPr>
        <w:t>7.4.2 发出中标通知书后，采购人无正当理由拒签合同的，采购人向中标人退还投标保证金；给中标人造成损失的，还应当赔偿损失。</w:t>
      </w:r>
    </w:p>
    <w:p>
      <w:pPr>
        <w:spacing w:line="360" w:lineRule="auto"/>
        <w:outlineLvl w:val="1"/>
        <w:rPr>
          <w:rFonts w:ascii="宋体" w:hAnsi="宋体"/>
          <w:b/>
          <w:sz w:val="24"/>
        </w:rPr>
      </w:pPr>
      <w:bookmarkStart w:id="228" w:name="_Toc13427"/>
      <w:r>
        <w:rPr>
          <w:rFonts w:hint="eastAsia" w:ascii="宋体" w:hAnsi="宋体"/>
          <w:b/>
          <w:sz w:val="24"/>
        </w:rPr>
        <w:t>8．重新招标和不再招标</w:t>
      </w:r>
      <w:bookmarkEnd w:id="228"/>
    </w:p>
    <w:p>
      <w:pPr>
        <w:spacing w:line="360" w:lineRule="auto"/>
        <w:ind w:firstLine="482" w:firstLineChars="200"/>
        <w:outlineLvl w:val="2"/>
        <w:rPr>
          <w:rFonts w:ascii="宋体" w:hAnsi="宋体"/>
          <w:b/>
          <w:sz w:val="24"/>
        </w:rPr>
      </w:pPr>
      <w:r>
        <w:rPr>
          <w:rFonts w:hint="eastAsia" w:ascii="宋体" w:hAnsi="宋体"/>
          <w:b/>
          <w:sz w:val="24"/>
        </w:rPr>
        <w:t>8.1重新招标：</w:t>
      </w:r>
    </w:p>
    <w:p>
      <w:pPr>
        <w:spacing w:line="360" w:lineRule="auto"/>
        <w:ind w:firstLine="480" w:firstLineChars="200"/>
        <w:rPr>
          <w:rFonts w:ascii="宋体" w:hAnsi="宋体"/>
          <w:sz w:val="24"/>
        </w:rPr>
      </w:pPr>
      <w:r>
        <w:rPr>
          <w:rFonts w:hint="eastAsia" w:ascii="宋体" w:hAnsi="宋体"/>
          <w:sz w:val="24"/>
        </w:rPr>
        <w:t>有下列情形之一的，采购人将重新招标：</w:t>
      </w:r>
    </w:p>
    <w:p>
      <w:pPr>
        <w:numPr>
          <w:ilvl w:val="0"/>
          <w:numId w:val="1"/>
        </w:numPr>
        <w:spacing w:line="360" w:lineRule="auto"/>
        <w:ind w:firstLine="480" w:firstLineChars="200"/>
        <w:rPr>
          <w:rFonts w:ascii="宋体" w:hAnsi="宋体"/>
          <w:sz w:val="24"/>
        </w:rPr>
      </w:pPr>
      <w:r>
        <w:rPr>
          <w:rFonts w:hint="eastAsia" w:ascii="宋体" w:hAnsi="宋体"/>
          <w:sz w:val="24"/>
        </w:rPr>
        <w:t>投标截止时间止，投标人少于3个的；</w:t>
      </w:r>
    </w:p>
    <w:p>
      <w:pPr>
        <w:numPr>
          <w:ilvl w:val="0"/>
          <w:numId w:val="1"/>
        </w:numPr>
        <w:spacing w:line="360" w:lineRule="auto"/>
        <w:ind w:firstLine="480" w:firstLineChars="200"/>
        <w:rPr>
          <w:rFonts w:ascii="宋体" w:hAnsi="宋体"/>
          <w:sz w:val="24"/>
        </w:rPr>
      </w:pPr>
      <w:r>
        <w:rPr>
          <w:rFonts w:hint="eastAsia" w:ascii="宋体" w:hAnsi="宋体"/>
          <w:sz w:val="24"/>
        </w:rPr>
        <w:t>经磋商小组评审后否决所有投标的。</w:t>
      </w:r>
    </w:p>
    <w:p>
      <w:pPr>
        <w:spacing w:line="360" w:lineRule="auto"/>
        <w:ind w:firstLine="482" w:firstLineChars="200"/>
        <w:outlineLvl w:val="2"/>
        <w:rPr>
          <w:rFonts w:ascii="宋体" w:hAnsi="宋体"/>
          <w:b/>
          <w:sz w:val="24"/>
        </w:rPr>
      </w:pPr>
      <w:r>
        <w:rPr>
          <w:rFonts w:hint="eastAsia" w:ascii="宋体" w:hAnsi="宋体"/>
          <w:b/>
          <w:sz w:val="24"/>
        </w:rPr>
        <w:t>8.2不再招标：</w:t>
      </w:r>
    </w:p>
    <w:p>
      <w:pPr>
        <w:spacing w:line="360" w:lineRule="auto"/>
        <w:ind w:firstLine="480" w:firstLineChars="200"/>
        <w:rPr>
          <w:rFonts w:ascii="宋体" w:hAnsi="宋体"/>
          <w:sz w:val="24"/>
        </w:rPr>
      </w:pPr>
      <w:bookmarkStart w:id="229" w:name="_Toc152042350"/>
      <w:bookmarkStart w:id="230" w:name="_Toc292897344"/>
      <w:bookmarkStart w:id="231" w:name="_Toc152045574"/>
      <w:bookmarkStart w:id="232" w:name="_Toc144974542"/>
      <w:bookmarkStart w:id="233" w:name="_Toc179632592"/>
      <w:r>
        <w:rPr>
          <w:rFonts w:hint="eastAsia" w:ascii="宋体" w:hAnsi="宋体"/>
          <w:sz w:val="24"/>
        </w:rPr>
        <w:t>重新招标后投标截止时间止，投标人仍少于3个或者所有投标被否决的，属于必须审批或核准的工程建设项目，经原审批或核准部门批准后不再进行招标。</w:t>
      </w:r>
    </w:p>
    <w:p>
      <w:pPr>
        <w:spacing w:line="360" w:lineRule="auto"/>
        <w:outlineLvl w:val="1"/>
        <w:rPr>
          <w:rFonts w:ascii="宋体" w:hAnsi="宋体"/>
          <w:b/>
          <w:sz w:val="24"/>
        </w:rPr>
      </w:pPr>
      <w:bookmarkStart w:id="234" w:name="_Toc9295"/>
      <w:r>
        <w:rPr>
          <w:rFonts w:hint="eastAsia" w:ascii="宋体" w:hAnsi="宋体"/>
          <w:b/>
          <w:sz w:val="24"/>
        </w:rPr>
        <w:t>9．纪律和监督</w:t>
      </w:r>
      <w:bookmarkEnd w:id="229"/>
      <w:bookmarkEnd w:id="230"/>
      <w:bookmarkEnd w:id="231"/>
      <w:bookmarkEnd w:id="232"/>
      <w:bookmarkEnd w:id="233"/>
      <w:bookmarkEnd w:id="234"/>
    </w:p>
    <w:p>
      <w:pPr>
        <w:spacing w:line="360" w:lineRule="auto"/>
        <w:ind w:firstLine="482" w:firstLineChars="200"/>
        <w:outlineLvl w:val="2"/>
        <w:rPr>
          <w:rFonts w:ascii="宋体" w:hAnsi="宋体"/>
          <w:b/>
          <w:sz w:val="24"/>
        </w:rPr>
      </w:pPr>
      <w:bookmarkStart w:id="235" w:name="_Toc292897345"/>
      <w:bookmarkStart w:id="236" w:name="_Toc152042351"/>
      <w:bookmarkStart w:id="237" w:name="_Toc144974543"/>
      <w:bookmarkStart w:id="238" w:name="_Toc152045575"/>
      <w:bookmarkStart w:id="239" w:name="_Toc179632593"/>
      <w:r>
        <w:rPr>
          <w:rFonts w:hint="eastAsia" w:ascii="宋体" w:hAnsi="宋体"/>
          <w:b/>
          <w:sz w:val="24"/>
        </w:rPr>
        <w:t>9.1 对采购人的纪律要求</w:t>
      </w:r>
      <w:bookmarkEnd w:id="235"/>
      <w:bookmarkEnd w:id="236"/>
      <w:bookmarkEnd w:id="237"/>
      <w:bookmarkEnd w:id="238"/>
      <w:bookmarkEnd w:id="239"/>
    </w:p>
    <w:p>
      <w:pPr>
        <w:spacing w:line="360" w:lineRule="auto"/>
        <w:ind w:firstLine="480" w:firstLineChars="200"/>
        <w:rPr>
          <w:rFonts w:ascii="宋体" w:hAnsi="宋体"/>
          <w:sz w:val="24"/>
        </w:rPr>
      </w:pPr>
      <w:r>
        <w:rPr>
          <w:rFonts w:hint="eastAsia" w:ascii="宋体" w:hAnsi="宋体"/>
          <w:sz w:val="24"/>
        </w:rPr>
        <w:t>采购人不得泄漏招标投标活动中应当保密的情况和资料，不得与投标人串通损害国家利益、社会公共利益或者他人合法权益。</w:t>
      </w:r>
    </w:p>
    <w:p>
      <w:pPr>
        <w:spacing w:line="360" w:lineRule="auto"/>
        <w:ind w:firstLine="482" w:firstLineChars="200"/>
        <w:outlineLvl w:val="2"/>
        <w:rPr>
          <w:rFonts w:ascii="宋体" w:hAnsi="宋体"/>
          <w:b/>
          <w:sz w:val="24"/>
        </w:rPr>
      </w:pPr>
      <w:bookmarkStart w:id="240" w:name="_Toc179632594"/>
      <w:bookmarkStart w:id="241" w:name="_Toc292897346"/>
      <w:bookmarkStart w:id="242" w:name="_Toc144974544"/>
      <w:bookmarkStart w:id="243" w:name="_Toc152042352"/>
      <w:bookmarkStart w:id="244" w:name="_Toc152045576"/>
      <w:r>
        <w:rPr>
          <w:rFonts w:hint="eastAsia" w:ascii="宋体" w:hAnsi="宋体"/>
          <w:b/>
          <w:sz w:val="24"/>
        </w:rPr>
        <w:t>9.2 对投标人的纪律要求</w:t>
      </w:r>
      <w:bookmarkEnd w:id="240"/>
      <w:bookmarkEnd w:id="241"/>
      <w:bookmarkEnd w:id="242"/>
      <w:bookmarkEnd w:id="243"/>
      <w:bookmarkEnd w:id="244"/>
    </w:p>
    <w:p>
      <w:pPr>
        <w:spacing w:line="360" w:lineRule="auto"/>
        <w:ind w:firstLine="480" w:firstLineChars="200"/>
        <w:rPr>
          <w:rFonts w:ascii="宋体" w:hAnsi="宋体"/>
          <w:sz w:val="24"/>
        </w:rPr>
      </w:pPr>
      <w:r>
        <w:rPr>
          <w:rFonts w:hint="eastAsia" w:ascii="宋体" w:hAnsi="宋体"/>
          <w:sz w:val="24"/>
        </w:rPr>
        <w:t>供应商不得相互串通投标或者与采购人串通投标，不得向采购人或者磋商小组成员行贿谋取中标，不得以他人名义投标或者以其他方式弄虚作假骗取中标；投标人不得以任何方式干扰、影响评标工作。如发现投标人有上述不正当行为，将取消其投标资格或中标资格。</w:t>
      </w:r>
    </w:p>
    <w:p>
      <w:pPr>
        <w:spacing w:line="360" w:lineRule="auto"/>
        <w:ind w:firstLine="482" w:firstLineChars="200"/>
        <w:rPr>
          <w:rFonts w:ascii="宋体" w:hAnsi="宋体"/>
          <w:b/>
          <w:sz w:val="24"/>
        </w:rPr>
      </w:pPr>
      <w:bookmarkStart w:id="245" w:name="_Toc152042353"/>
      <w:bookmarkStart w:id="246" w:name="_Toc144974545"/>
      <w:bookmarkStart w:id="247" w:name="_Toc152045577"/>
      <w:bookmarkStart w:id="248" w:name="_Toc179632595"/>
      <w:bookmarkStart w:id="249" w:name="_Toc292897347"/>
      <w:r>
        <w:rPr>
          <w:rFonts w:hint="eastAsia" w:ascii="宋体" w:hAnsi="宋体"/>
          <w:b/>
          <w:sz w:val="24"/>
        </w:rPr>
        <w:t>9.3 对磋商小组成员的纪律要求</w:t>
      </w:r>
      <w:bookmarkEnd w:id="245"/>
      <w:bookmarkEnd w:id="246"/>
      <w:bookmarkEnd w:id="247"/>
      <w:bookmarkEnd w:id="248"/>
      <w:bookmarkEnd w:id="249"/>
    </w:p>
    <w:p>
      <w:pPr>
        <w:spacing w:line="360" w:lineRule="auto"/>
        <w:ind w:firstLine="480" w:firstLineChars="200"/>
        <w:rPr>
          <w:rFonts w:ascii="宋体" w:hAnsi="宋体"/>
          <w:sz w:val="24"/>
        </w:rPr>
      </w:pPr>
      <w:r>
        <w:rPr>
          <w:rFonts w:hint="eastAsia" w:ascii="宋体" w:hAnsi="宋体"/>
          <w:sz w:val="24"/>
        </w:rPr>
        <w:t>磋商小组成员不得收受他人的财物或者其他好处，不得向他人透漏对投标文件的评审和比较、中标候选人的推荐情况以及评标有关的其他情况。在评标活动中，磋商小组成员不得擅离职守，影响评标程序正常进行，不得使用第三章“评标办法”没有规定的评审因素和标准进行评标。</w:t>
      </w:r>
    </w:p>
    <w:p>
      <w:pPr>
        <w:spacing w:line="360" w:lineRule="auto"/>
        <w:ind w:firstLine="482" w:firstLineChars="200"/>
        <w:rPr>
          <w:rFonts w:ascii="宋体" w:hAnsi="宋体"/>
          <w:b/>
          <w:sz w:val="24"/>
        </w:rPr>
      </w:pPr>
      <w:bookmarkStart w:id="250" w:name="_Toc144974546"/>
      <w:bookmarkStart w:id="251" w:name="_Toc179632596"/>
      <w:bookmarkStart w:id="252" w:name="_Toc152042354"/>
      <w:bookmarkStart w:id="253" w:name="_Toc152045578"/>
      <w:bookmarkStart w:id="254" w:name="_Toc292897348"/>
      <w:r>
        <w:rPr>
          <w:rFonts w:hint="eastAsia" w:ascii="宋体" w:hAnsi="宋体"/>
          <w:b/>
          <w:sz w:val="24"/>
        </w:rPr>
        <w:t>9.4 对与评标活动有关的工作人员和纪律要求</w:t>
      </w:r>
    </w:p>
    <w:p>
      <w:pPr>
        <w:spacing w:line="360" w:lineRule="auto"/>
        <w:ind w:firstLine="480" w:firstLineChars="200"/>
        <w:rPr>
          <w:rFonts w:ascii="宋体" w:hAnsi="宋体"/>
          <w:sz w:val="24"/>
        </w:rPr>
      </w:pPr>
      <w:r>
        <w:rPr>
          <w:rFonts w:hint="eastAsia" w:ascii="宋体" w:hAnsi="宋体"/>
          <w:sz w:val="24"/>
        </w:rPr>
        <w:t>与评标活动有关的工作人员不得收受他人的财物或者其他好处，不得向他人透漏对投标文件评审和比较、中标候选人的推荐情况及评标有关的其他情况。在评标活动中，与评标活动有关的工作人员不得擅离职守，影响评标程序正常进行。</w:t>
      </w:r>
    </w:p>
    <w:p>
      <w:pPr>
        <w:spacing w:line="360" w:lineRule="auto"/>
        <w:ind w:firstLine="482" w:firstLineChars="200"/>
        <w:rPr>
          <w:rFonts w:ascii="宋体" w:hAnsi="宋体"/>
          <w:b/>
          <w:sz w:val="24"/>
        </w:rPr>
      </w:pPr>
      <w:r>
        <w:rPr>
          <w:rFonts w:hint="eastAsia" w:ascii="宋体" w:hAnsi="宋体"/>
          <w:b/>
          <w:sz w:val="24"/>
        </w:rPr>
        <w:t>9.5投诉</w:t>
      </w:r>
    </w:p>
    <w:p>
      <w:pPr>
        <w:spacing w:line="360" w:lineRule="auto"/>
        <w:ind w:firstLine="480" w:firstLineChars="200"/>
        <w:rPr>
          <w:rFonts w:ascii="宋体" w:hAnsi="宋体"/>
          <w:sz w:val="24"/>
        </w:rPr>
      </w:pPr>
      <w:r>
        <w:rPr>
          <w:rFonts w:hint="eastAsia" w:ascii="宋体" w:hAnsi="宋体"/>
          <w:sz w:val="24"/>
        </w:rPr>
        <w:t>供应商和其他利害关系人认为本次招标活动违反法律、法规和规章规定的，有权向有关行政监督部门投诉。</w:t>
      </w:r>
    </w:p>
    <w:p>
      <w:pPr>
        <w:spacing w:line="360" w:lineRule="auto"/>
        <w:outlineLvl w:val="1"/>
        <w:rPr>
          <w:rFonts w:ascii="宋体" w:hAnsi="宋体"/>
          <w:b/>
          <w:sz w:val="24"/>
        </w:rPr>
      </w:pPr>
      <w:bookmarkStart w:id="255" w:name="_Toc22645"/>
      <w:r>
        <w:rPr>
          <w:rFonts w:hint="eastAsia" w:ascii="宋体" w:hAnsi="宋体"/>
          <w:b/>
          <w:sz w:val="24"/>
        </w:rPr>
        <w:t>10．需要补充的其他内容</w:t>
      </w:r>
      <w:bookmarkEnd w:id="255"/>
    </w:p>
    <w:p>
      <w:pPr>
        <w:spacing w:line="360" w:lineRule="auto"/>
        <w:ind w:firstLine="480" w:firstLineChars="200"/>
        <w:rPr>
          <w:rFonts w:ascii="宋体" w:hAnsi="宋体"/>
          <w:sz w:val="24"/>
        </w:rPr>
      </w:pPr>
      <w:r>
        <w:rPr>
          <w:rFonts w:hint="eastAsia" w:ascii="宋体" w:hAnsi="宋体"/>
          <w:sz w:val="24"/>
        </w:rPr>
        <w:t>需要补充的其他内容：见供应商须知前附表</w:t>
      </w:r>
    </w:p>
    <w:bookmarkEnd w:id="250"/>
    <w:bookmarkEnd w:id="251"/>
    <w:bookmarkEnd w:id="252"/>
    <w:bookmarkEnd w:id="253"/>
    <w:bookmarkEnd w:id="254"/>
    <w:p>
      <w:pPr>
        <w:bidi w:val="0"/>
        <w:rPr>
          <w:rFonts w:hint="eastAsia"/>
        </w:rPr>
      </w:pPr>
    </w:p>
    <w:p>
      <w:pPr>
        <w:bidi w:val="0"/>
        <w:rPr>
          <w:rFonts w:hint="eastAsia"/>
        </w:rPr>
      </w:pPr>
    </w:p>
    <w:p>
      <w:pPr>
        <w:bidi w:val="0"/>
        <w:rPr>
          <w:rFonts w:hint="eastAsia"/>
        </w:rPr>
      </w:pPr>
    </w:p>
    <w:p>
      <w:pPr>
        <w:rPr>
          <w:rFonts w:hint="eastAsia"/>
        </w:rPr>
      </w:pPr>
      <w:r>
        <w:rPr>
          <w:rFonts w:hint="eastAsia"/>
        </w:rPr>
        <w:br w:type="page"/>
      </w:r>
    </w:p>
    <w:p>
      <w:pPr>
        <w:rPr>
          <w:rFonts w:hint="eastAsia"/>
        </w:rPr>
      </w:pPr>
    </w:p>
    <w:p>
      <w:pPr>
        <w:pStyle w:val="7"/>
        <w:spacing w:before="120" w:after="120" w:line="400" w:lineRule="exact"/>
        <w:jc w:val="center"/>
        <w:rPr>
          <w:rFonts w:hint="eastAsia" w:ascii="宋体" w:hAnsi="宋体"/>
          <w:sz w:val="32"/>
          <w:szCs w:val="32"/>
        </w:rPr>
      </w:pPr>
      <w:bookmarkStart w:id="256" w:name="_Toc11717"/>
      <w:r>
        <w:rPr>
          <w:rFonts w:hint="eastAsia" w:ascii="宋体" w:hAnsi="宋体"/>
          <w:sz w:val="32"/>
          <w:szCs w:val="32"/>
        </w:rPr>
        <w:t>第三章 评标办法（综合评估法）</w:t>
      </w:r>
      <w:bookmarkEnd w:id="256"/>
    </w:p>
    <w:p>
      <w:pPr>
        <w:jc w:val="center"/>
        <w:outlineLvl w:val="0"/>
        <w:rPr>
          <w:rFonts w:ascii="宋体" w:hAnsi="宋体" w:cs="仿宋_GB2312"/>
          <w:sz w:val="28"/>
          <w:szCs w:val="28"/>
        </w:rPr>
      </w:pPr>
      <w:bookmarkStart w:id="257" w:name="_Toc233647237"/>
      <w:bookmarkStart w:id="258" w:name="_Toc5003348"/>
      <w:bookmarkStart w:id="259" w:name="_Toc8643"/>
      <w:bookmarkStart w:id="260" w:name="_Toc28985"/>
      <w:bookmarkStart w:id="261" w:name="_Toc144974567"/>
      <w:bookmarkStart w:id="262" w:name="_Toc152045600"/>
      <w:bookmarkStart w:id="263" w:name="_Toc152042377"/>
      <w:r>
        <w:rPr>
          <w:rFonts w:hint="eastAsia" w:ascii="宋体" w:hAnsi="宋体" w:cs="仿宋_GB2312"/>
          <w:sz w:val="28"/>
          <w:szCs w:val="28"/>
        </w:rPr>
        <w:t>评标办法前附表</w:t>
      </w:r>
      <w:bookmarkEnd w:id="257"/>
      <w:bookmarkEnd w:id="258"/>
      <w:bookmarkEnd w:id="259"/>
      <w:bookmarkEnd w:id="260"/>
      <w:bookmarkStart w:id="264" w:name="_Toc18825"/>
      <w:bookmarkStart w:id="265" w:name="_Toc28093"/>
    </w:p>
    <w:tbl>
      <w:tblPr>
        <w:tblStyle w:val="17"/>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13"/>
        <w:gridCol w:w="1512"/>
        <w:gridCol w:w="688"/>
        <w:gridCol w:w="5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586" w:type="dxa"/>
            <w:gridSpan w:val="2"/>
            <w:noWrap w:val="0"/>
            <w:vAlign w:val="center"/>
          </w:tcPr>
          <w:p>
            <w:pPr>
              <w:spacing w:line="360" w:lineRule="auto"/>
              <w:jc w:val="center"/>
              <w:rPr>
                <w:rFonts w:hAnsi="宋体" w:cs="仿宋_GB2312"/>
                <w:b/>
                <w:bCs/>
                <w:color w:val="auto"/>
                <w:sz w:val="21"/>
                <w:szCs w:val="21"/>
              </w:rPr>
            </w:pPr>
            <w:r>
              <w:rPr>
                <w:rFonts w:hint="eastAsia" w:hAnsi="宋体" w:cs="仿宋_GB2312"/>
                <w:b/>
                <w:bCs/>
                <w:color w:val="auto"/>
                <w:sz w:val="21"/>
                <w:szCs w:val="21"/>
              </w:rPr>
              <w:t>条款号</w:t>
            </w:r>
          </w:p>
        </w:tc>
        <w:tc>
          <w:tcPr>
            <w:tcW w:w="2200" w:type="dxa"/>
            <w:gridSpan w:val="2"/>
            <w:noWrap w:val="0"/>
            <w:vAlign w:val="center"/>
          </w:tcPr>
          <w:p>
            <w:pPr>
              <w:spacing w:line="360" w:lineRule="auto"/>
              <w:jc w:val="center"/>
              <w:rPr>
                <w:rFonts w:hAnsi="宋体" w:cs="仿宋_GB2312"/>
                <w:b/>
                <w:bCs/>
                <w:color w:val="auto"/>
                <w:sz w:val="21"/>
                <w:szCs w:val="21"/>
              </w:rPr>
            </w:pPr>
            <w:r>
              <w:rPr>
                <w:rFonts w:hint="eastAsia" w:hAnsi="宋体" w:cs="仿宋_GB2312"/>
                <w:b/>
                <w:bCs/>
                <w:color w:val="auto"/>
                <w:sz w:val="21"/>
                <w:szCs w:val="21"/>
              </w:rPr>
              <w:t>评审因素</w:t>
            </w:r>
          </w:p>
        </w:tc>
        <w:tc>
          <w:tcPr>
            <w:tcW w:w="5350" w:type="dxa"/>
            <w:noWrap w:val="0"/>
            <w:vAlign w:val="center"/>
          </w:tcPr>
          <w:p>
            <w:pPr>
              <w:spacing w:line="360" w:lineRule="auto"/>
              <w:jc w:val="center"/>
              <w:rPr>
                <w:rFonts w:hAnsi="宋体" w:cs="仿宋_GB2312"/>
                <w:b/>
                <w:bCs/>
                <w:color w:val="auto"/>
                <w:sz w:val="21"/>
                <w:szCs w:val="21"/>
              </w:rPr>
            </w:pPr>
            <w:r>
              <w:rPr>
                <w:rFonts w:hint="eastAsia" w:hAnsi="宋体" w:cs="仿宋_GB2312"/>
                <w:b/>
                <w:bCs/>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73" w:type="dxa"/>
            <w:vMerge w:val="restart"/>
            <w:noWrap w:val="0"/>
            <w:vAlign w:val="center"/>
          </w:tcPr>
          <w:p>
            <w:pPr>
              <w:spacing w:line="360" w:lineRule="auto"/>
              <w:jc w:val="center"/>
              <w:rPr>
                <w:rFonts w:hAnsi="宋体" w:cs="仿宋_GB2312"/>
                <w:szCs w:val="21"/>
              </w:rPr>
            </w:pPr>
            <w:r>
              <w:rPr>
                <w:rFonts w:ascii="宋体" w:hAnsi="宋体"/>
                <w:szCs w:val="21"/>
              </w:rPr>
              <w:t>2.1.1</w:t>
            </w:r>
          </w:p>
        </w:tc>
        <w:tc>
          <w:tcPr>
            <w:tcW w:w="813" w:type="dxa"/>
            <w:vMerge w:val="restart"/>
            <w:noWrap w:val="0"/>
            <w:vAlign w:val="center"/>
          </w:tcPr>
          <w:p>
            <w:pPr>
              <w:spacing w:line="360" w:lineRule="auto"/>
              <w:jc w:val="center"/>
              <w:rPr>
                <w:rFonts w:ascii="宋体" w:hAnsi="宋体"/>
                <w:szCs w:val="21"/>
              </w:rPr>
            </w:pPr>
            <w:r>
              <w:rPr>
                <w:rFonts w:ascii="宋体" w:hAnsi="宋体"/>
                <w:szCs w:val="21"/>
              </w:rPr>
              <w:t>形式</w:t>
            </w:r>
          </w:p>
          <w:p>
            <w:pPr>
              <w:spacing w:line="360" w:lineRule="auto"/>
              <w:jc w:val="center"/>
              <w:rPr>
                <w:rFonts w:ascii="宋体" w:hAnsi="宋体"/>
                <w:szCs w:val="21"/>
              </w:rPr>
            </w:pPr>
            <w:r>
              <w:rPr>
                <w:rFonts w:ascii="宋体" w:hAnsi="宋体"/>
                <w:szCs w:val="21"/>
              </w:rPr>
              <w:t>评审</w:t>
            </w:r>
          </w:p>
          <w:p>
            <w:pPr>
              <w:spacing w:line="360" w:lineRule="auto"/>
              <w:jc w:val="center"/>
              <w:rPr>
                <w:rFonts w:hAnsi="宋体" w:cs="仿宋_GB2312"/>
                <w:szCs w:val="21"/>
              </w:rPr>
            </w:pPr>
            <w:r>
              <w:rPr>
                <w:rFonts w:ascii="宋体" w:hAnsi="宋体"/>
                <w:szCs w:val="21"/>
              </w:rPr>
              <w:t>标准</w:t>
            </w:r>
          </w:p>
        </w:tc>
        <w:tc>
          <w:tcPr>
            <w:tcW w:w="2200" w:type="dxa"/>
            <w:gridSpan w:val="2"/>
            <w:noWrap w:val="0"/>
            <w:vAlign w:val="center"/>
          </w:tcPr>
          <w:p>
            <w:pPr>
              <w:spacing w:line="360" w:lineRule="auto"/>
              <w:jc w:val="center"/>
              <w:rPr>
                <w:rFonts w:hint="eastAsia" w:hAnsi="宋体"/>
                <w:color w:val="auto"/>
                <w:kern w:val="2"/>
                <w:sz w:val="21"/>
                <w:szCs w:val="21"/>
              </w:rPr>
            </w:pPr>
            <w:r>
              <w:rPr>
                <w:rFonts w:hint="eastAsia" w:hAnsi="宋体"/>
                <w:color w:val="auto"/>
                <w:kern w:val="2"/>
                <w:sz w:val="21"/>
                <w:szCs w:val="21"/>
              </w:rPr>
              <w:t>投标人名称</w:t>
            </w:r>
          </w:p>
        </w:tc>
        <w:tc>
          <w:tcPr>
            <w:tcW w:w="5350" w:type="dxa"/>
            <w:noWrap w:val="0"/>
            <w:vAlign w:val="center"/>
          </w:tcPr>
          <w:p>
            <w:pPr>
              <w:spacing w:line="360" w:lineRule="auto"/>
              <w:jc w:val="left"/>
              <w:rPr>
                <w:rFonts w:hint="eastAsia" w:ascii="宋体" w:hAnsi="宋体"/>
                <w:szCs w:val="21"/>
              </w:rPr>
            </w:pPr>
            <w:r>
              <w:rPr>
                <w:rFonts w:hint="eastAsia" w:ascii="宋体" w:hAnsi="宋体"/>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73" w:type="dxa"/>
            <w:vMerge w:val="continue"/>
            <w:noWrap w:val="0"/>
            <w:vAlign w:val="center"/>
          </w:tcPr>
          <w:p>
            <w:pPr>
              <w:spacing w:line="360" w:lineRule="auto"/>
              <w:jc w:val="center"/>
              <w:rPr>
                <w:rFonts w:hAnsi="宋体" w:cs="仿宋_GB2312"/>
                <w:szCs w:val="21"/>
              </w:rPr>
            </w:pPr>
          </w:p>
        </w:tc>
        <w:tc>
          <w:tcPr>
            <w:tcW w:w="813" w:type="dxa"/>
            <w:vMerge w:val="continue"/>
            <w:noWrap w:val="0"/>
            <w:vAlign w:val="center"/>
          </w:tcPr>
          <w:p>
            <w:pPr>
              <w:spacing w:line="360" w:lineRule="auto"/>
              <w:jc w:val="center"/>
              <w:rPr>
                <w:rFonts w:hAnsi="宋体" w:cs="仿宋_GB2312"/>
                <w:szCs w:val="21"/>
              </w:rPr>
            </w:pPr>
          </w:p>
        </w:tc>
        <w:tc>
          <w:tcPr>
            <w:tcW w:w="2200" w:type="dxa"/>
            <w:gridSpan w:val="2"/>
            <w:noWrap w:val="0"/>
            <w:vAlign w:val="center"/>
          </w:tcPr>
          <w:p>
            <w:pPr>
              <w:spacing w:line="360" w:lineRule="auto"/>
              <w:jc w:val="center"/>
              <w:rPr>
                <w:rFonts w:hint="eastAsia" w:hAnsi="宋体"/>
                <w:color w:val="auto"/>
                <w:kern w:val="2"/>
                <w:sz w:val="21"/>
                <w:szCs w:val="21"/>
              </w:rPr>
            </w:pPr>
            <w:r>
              <w:rPr>
                <w:rFonts w:hint="eastAsia" w:hAnsi="宋体"/>
                <w:color w:val="auto"/>
                <w:kern w:val="2"/>
                <w:sz w:val="21"/>
                <w:szCs w:val="21"/>
              </w:rPr>
              <w:t>投标函</w:t>
            </w:r>
            <w:r>
              <w:rPr>
                <w:rFonts w:hint="eastAsia" w:hAnsi="宋体"/>
                <w:color w:val="auto"/>
                <w:kern w:val="2"/>
                <w:sz w:val="21"/>
                <w:szCs w:val="21"/>
                <w:lang w:eastAsia="zh-CN"/>
              </w:rPr>
              <w:t>（</w:t>
            </w:r>
            <w:r>
              <w:rPr>
                <w:rFonts w:hint="eastAsia" w:hAnsi="宋体"/>
                <w:color w:val="auto"/>
                <w:kern w:val="2"/>
                <w:sz w:val="21"/>
                <w:szCs w:val="21"/>
                <w:lang w:val="en-US" w:eastAsia="zh-CN"/>
              </w:rPr>
              <w:t>附录</w:t>
            </w:r>
            <w:r>
              <w:rPr>
                <w:rFonts w:hint="eastAsia" w:hAnsi="宋体"/>
                <w:color w:val="auto"/>
                <w:kern w:val="2"/>
                <w:sz w:val="21"/>
                <w:szCs w:val="21"/>
                <w:lang w:eastAsia="zh-CN"/>
              </w:rPr>
              <w:t>）</w:t>
            </w:r>
            <w:r>
              <w:rPr>
                <w:rFonts w:hint="eastAsia" w:hAnsi="宋体"/>
                <w:color w:val="auto"/>
                <w:kern w:val="2"/>
                <w:sz w:val="21"/>
                <w:szCs w:val="21"/>
              </w:rPr>
              <w:t>签字盖章</w:t>
            </w:r>
          </w:p>
        </w:tc>
        <w:tc>
          <w:tcPr>
            <w:tcW w:w="5350" w:type="dxa"/>
            <w:noWrap w:val="0"/>
            <w:vAlign w:val="center"/>
          </w:tcPr>
          <w:p>
            <w:pPr>
              <w:spacing w:line="360" w:lineRule="auto"/>
              <w:jc w:val="left"/>
              <w:rPr>
                <w:rFonts w:hint="eastAsia" w:ascii="宋体" w:hAnsi="宋体"/>
                <w:szCs w:val="21"/>
              </w:rPr>
            </w:pPr>
            <w:r>
              <w:rPr>
                <w:rFonts w:hint="eastAsia" w:ascii="宋体" w:hAnsi="宋体"/>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3" w:type="dxa"/>
            <w:vMerge w:val="continue"/>
            <w:noWrap w:val="0"/>
            <w:vAlign w:val="center"/>
          </w:tcPr>
          <w:p>
            <w:pPr>
              <w:spacing w:line="360" w:lineRule="auto"/>
              <w:jc w:val="center"/>
              <w:rPr>
                <w:rFonts w:hAnsi="宋体" w:cs="仿宋_GB2312"/>
                <w:szCs w:val="21"/>
              </w:rPr>
            </w:pPr>
          </w:p>
        </w:tc>
        <w:tc>
          <w:tcPr>
            <w:tcW w:w="813" w:type="dxa"/>
            <w:vMerge w:val="continue"/>
            <w:noWrap w:val="0"/>
            <w:vAlign w:val="center"/>
          </w:tcPr>
          <w:p>
            <w:pPr>
              <w:spacing w:line="360" w:lineRule="auto"/>
              <w:jc w:val="center"/>
              <w:rPr>
                <w:rFonts w:hAnsi="宋体" w:cs="仿宋_GB2312"/>
                <w:szCs w:val="21"/>
              </w:rPr>
            </w:pPr>
          </w:p>
        </w:tc>
        <w:tc>
          <w:tcPr>
            <w:tcW w:w="2200" w:type="dxa"/>
            <w:gridSpan w:val="2"/>
            <w:noWrap w:val="0"/>
            <w:vAlign w:val="center"/>
          </w:tcPr>
          <w:p>
            <w:pPr>
              <w:spacing w:line="360" w:lineRule="auto"/>
              <w:jc w:val="center"/>
              <w:rPr>
                <w:rFonts w:hint="eastAsia" w:hAnsi="宋体"/>
                <w:color w:val="auto"/>
                <w:kern w:val="2"/>
                <w:sz w:val="21"/>
                <w:szCs w:val="21"/>
              </w:rPr>
            </w:pPr>
            <w:r>
              <w:rPr>
                <w:rFonts w:hint="eastAsia" w:hAnsi="宋体"/>
                <w:color w:val="auto"/>
                <w:kern w:val="2"/>
                <w:sz w:val="21"/>
                <w:szCs w:val="21"/>
              </w:rPr>
              <w:t>投标文件格式</w:t>
            </w:r>
          </w:p>
        </w:tc>
        <w:tc>
          <w:tcPr>
            <w:tcW w:w="5350" w:type="dxa"/>
            <w:noWrap w:val="0"/>
            <w:vAlign w:val="center"/>
          </w:tcPr>
          <w:p>
            <w:pPr>
              <w:spacing w:line="360" w:lineRule="auto"/>
              <w:jc w:val="left"/>
              <w:rPr>
                <w:rFonts w:hint="eastAsia" w:ascii="宋体" w:hAnsi="宋体"/>
                <w:szCs w:val="21"/>
              </w:rPr>
            </w:pPr>
            <w:r>
              <w:rPr>
                <w:rFonts w:hint="eastAsia" w:ascii="宋体" w:hAnsi="宋体"/>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73" w:type="dxa"/>
            <w:vMerge w:val="continue"/>
            <w:noWrap w:val="0"/>
            <w:vAlign w:val="center"/>
          </w:tcPr>
          <w:p>
            <w:pPr>
              <w:spacing w:line="360" w:lineRule="auto"/>
              <w:jc w:val="center"/>
              <w:rPr>
                <w:rFonts w:hAnsi="宋体" w:cs="仿宋_GB2312"/>
                <w:szCs w:val="21"/>
              </w:rPr>
            </w:pPr>
          </w:p>
        </w:tc>
        <w:tc>
          <w:tcPr>
            <w:tcW w:w="813" w:type="dxa"/>
            <w:vMerge w:val="continue"/>
            <w:noWrap w:val="0"/>
            <w:vAlign w:val="center"/>
          </w:tcPr>
          <w:p>
            <w:pPr>
              <w:spacing w:line="360" w:lineRule="auto"/>
              <w:jc w:val="center"/>
              <w:rPr>
                <w:rFonts w:hAnsi="宋体" w:cs="仿宋_GB2312"/>
                <w:szCs w:val="21"/>
              </w:rPr>
            </w:pPr>
          </w:p>
        </w:tc>
        <w:tc>
          <w:tcPr>
            <w:tcW w:w="2200" w:type="dxa"/>
            <w:gridSpan w:val="2"/>
            <w:noWrap w:val="0"/>
            <w:vAlign w:val="center"/>
          </w:tcPr>
          <w:p>
            <w:pPr>
              <w:spacing w:line="360" w:lineRule="auto"/>
              <w:jc w:val="center"/>
              <w:rPr>
                <w:rFonts w:hint="eastAsia" w:hAnsi="宋体"/>
                <w:color w:val="auto"/>
                <w:kern w:val="2"/>
                <w:sz w:val="21"/>
                <w:szCs w:val="21"/>
              </w:rPr>
            </w:pPr>
            <w:r>
              <w:rPr>
                <w:rFonts w:hint="eastAsia" w:hAnsi="宋体"/>
                <w:color w:val="auto"/>
                <w:kern w:val="2"/>
                <w:sz w:val="21"/>
                <w:szCs w:val="21"/>
              </w:rPr>
              <w:t>报价唯一</w:t>
            </w:r>
          </w:p>
        </w:tc>
        <w:tc>
          <w:tcPr>
            <w:tcW w:w="5350" w:type="dxa"/>
            <w:noWrap w:val="0"/>
            <w:vAlign w:val="center"/>
          </w:tcPr>
          <w:p>
            <w:pPr>
              <w:spacing w:line="360" w:lineRule="auto"/>
              <w:jc w:val="left"/>
              <w:rPr>
                <w:rFonts w:hint="eastAsia" w:ascii="宋体" w:hAnsi="宋体"/>
                <w:szCs w:val="21"/>
              </w:rPr>
            </w:pPr>
            <w:r>
              <w:rPr>
                <w:rFonts w:hint="eastAsia" w:ascii="宋体" w:hAnsi="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dxa"/>
            <w:vMerge w:val="restart"/>
            <w:noWrap w:val="0"/>
            <w:vAlign w:val="center"/>
          </w:tcPr>
          <w:p>
            <w:pPr>
              <w:tabs>
                <w:tab w:val="right" w:leader="dot" w:pos="9060"/>
              </w:tabs>
              <w:spacing w:line="360" w:lineRule="auto"/>
              <w:ind w:left="0" w:leftChars="0"/>
              <w:rPr>
                <w:rFonts w:ascii="宋体" w:hAnsi="宋体" w:cs="仿宋_GB2312"/>
                <w:szCs w:val="21"/>
              </w:rPr>
            </w:pPr>
            <w:r>
              <w:rPr>
                <w:rFonts w:ascii="宋体" w:hAnsi="宋体" w:cs="仿宋_GB2312"/>
                <w:szCs w:val="21"/>
              </w:rPr>
              <w:t>2.1.2</w:t>
            </w:r>
          </w:p>
        </w:tc>
        <w:tc>
          <w:tcPr>
            <w:tcW w:w="813" w:type="dxa"/>
            <w:vMerge w:val="restart"/>
            <w:noWrap w:val="0"/>
            <w:vAlign w:val="center"/>
          </w:tcPr>
          <w:p>
            <w:pPr>
              <w:spacing w:line="360" w:lineRule="auto"/>
              <w:jc w:val="center"/>
              <w:rPr>
                <w:rFonts w:ascii="宋体" w:hAnsi="宋体"/>
                <w:szCs w:val="21"/>
              </w:rPr>
            </w:pPr>
            <w:r>
              <w:rPr>
                <w:rFonts w:ascii="宋体" w:hAnsi="宋体"/>
                <w:szCs w:val="21"/>
              </w:rPr>
              <w:t>资格</w:t>
            </w:r>
          </w:p>
          <w:p>
            <w:pPr>
              <w:spacing w:line="360" w:lineRule="auto"/>
              <w:jc w:val="center"/>
              <w:rPr>
                <w:rFonts w:ascii="宋体" w:hAnsi="宋体"/>
                <w:szCs w:val="21"/>
              </w:rPr>
            </w:pPr>
            <w:r>
              <w:rPr>
                <w:rFonts w:ascii="宋体" w:hAnsi="宋体"/>
                <w:szCs w:val="21"/>
              </w:rPr>
              <w:t>评审</w:t>
            </w:r>
          </w:p>
          <w:p>
            <w:pPr>
              <w:spacing w:line="360" w:lineRule="auto"/>
              <w:jc w:val="center"/>
              <w:rPr>
                <w:rFonts w:ascii="宋体" w:cs="仿宋_GB2312"/>
                <w:szCs w:val="21"/>
              </w:rPr>
            </w:pPr>
            <w:r>
              <w:rPr>
                <w:rFonts w:ascii="宋体" w:hAnsi="宋体"/>
                <w:szCs w:val="21"/>
              </w:rPr>
              <w:t>标准</w:t>
            </w:r>
          </w:p>
        </w:tc>
        <w:tc>
          <w:tcPr>
            <w:tcW w:w="2200" w:type="dxa"/>
            <w:gridSpan w:val="2"/>
            <w:noWrap w:val="0"/>
            <w:vAlign w:val="center"/>
          </w:tcPr>
          <w:p>
            <w:pPr>
              <w:spacing w:line="360" w:lineRule="auto"/>
              <w:jc w:val="center"/>
              <w:rPr>
                <w:rFonts w:hint="eastAsia" w:ascii="宋体" w:hAnsi="宋体"/>
                <w:szCs w:val="21"/>
              </w:rPr>
            </w:pPr>
            <w:r>
              <w:rPr>
                <w:rFonts w:hint="eastAsia" w:ascii="宋体" w:hAnsi="宋体"/>
                <w:szCs w:val="21"/>
              </w:rPr>
              <w:t>标书雷同性分析</w:t>
            </w:r>
          </w:p>
        </w:tc>
        <w:tc>
          <w:tcPr>
            <w:tcW w:w="5350" w:type="dxa"/>
            <w:noWrap w:val="0"/>
            <w:vAlign w:val="center"/>
          </w:tcPr>
          <w:p>
            <w:pPr>
              <w:spacing w:line="360" w:lineRule="auto"/>
              <w:jc w:val="left"/>
              <w:rPr>
                <w:rFonts w:hint="eastAsia" w:ascii="宋体" w:hAnsi="宋体"/>
                <w:szCs w:val="21"/>
              </w:rPr>
            </w:pPr>
            <w:r>
              <w:rPr>
                <w:rFonts w:hint="eastAsia" w:ascii="宋体" w:hAnsi="宋体"/>
                <w:szCs w:val="21"/>
              </w:rPr>
              <w:t>投标（响应）文件制作机器码不能一致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dxa"/>
            <w:vMerge w:val="continue"/>
            <w:noWrap w:val="0"/>
            <w:vAlign w:val="center"/>
          </w:tcPr>
          <w:p>
            <w:pPr>
              <w:tabs>
                <w:tab w:val="right" w:leader="dot" w:pos="9060"/>
              </w:tabs>
              <w:spacing w:line="360" w:lineRule="auto"/>
              <w:ind w:left="849" w:hanging="429"/>
              <w:jc w:val="center"/>
              <w:rPr>
                <w:rFonts w:ascii="宋体" w:cs="仿宋_GB2312"/>
                <w:szCs w:val="21"/>
              </w:rPr>
            </w:pPr>
          </w:p>
        </w:tc>
        <w:tc>
          <w:tcPr>
            <w:tcW w:w="813" w:type="dxa"/>
            <w:vMerge w:val="continue"/>
            <w:noWrap w:val="0"/>
            <w:vAlign w:val="center"/>
          </w:tcPr>
          <w:p>
            <w:pPr>
              <w:spacing w:line="360" w:lineRule="auto"/>
              <w:jc w:val="center"/>
              <w:rPr>
                <w:rFonts w:ascii="宋体" w:cs="仿宋_GB2312"/>
                <w:szCs w:val="21"/>
              </w:rPr>
            </w:pPr>
          </w:p>
        </w:tc>
        <w:tc>
          <w:tcPr>
            <w:tcW w:w="2200" w:type="dxa"/>
            <w:gridSpan w:val="2"/>
            <w:noWrap w:val="0"/>
            <w:vAlign w:val="center"/>
          </w:tcPr>
          <w:p>
            <w:pPr>
              <w:spacing w:line="360" w:lineRule="auto"/>
              <w:jc w:val="center"/>
              <w:rPr>
                <w:rFonts w:hAnsi="宋体"/>
                <w:szCs w:val="21"/>
              </w:rPr>
            </w:pPr>
            <w:r>
              <w:rPr>
                <w:rFonts w:hint="eastAsia" w:hAnsi="宋体"/>
                <w:szCs w:val="21"/>
              </w:rPr>
              <w:t>投标人资格要求</w:t>
            </w:r>
          </w:p>
        </w:tc>
        <w:tc>
          <w:tcPr>
            <w:tcW w:w="5350" w:type="dxa"/>
            <w:noWrap w:val="0"/>
            <w:vAlign w:val="center"/>
          </w:tcPr>
          <w:p>
            <w:pPr>
              <w:spacing w:line="360" w:lineRule="auto"/>
              <w:jc w:val="left"/>
              <w:rPr>
                <w:rFonts w:hAnsi="宋体"/>
                <w:b/>
                <w:szCs w:val="21"/>
              </w:rPr>
            </w:pPr>
            <w:r>
              <w:rPr>
                <w:rFonts w:hint="eastAsia" w:ascii="宋体" w:hAnsi="宋体"/>
                <w:szCs w:val="21"/>
              </w:rPr>
              <w:t>符合第二章“投标人须知”第</w:t>
            </w:r>
            <w:r>
              <w:rPr>
                <w:rFonts w:ascii="宋体" w:hAnsi="宋体"/>
                <w:szCs w:val="21"/>
              </w:rPr>
              <w:t>1.4.1</w:t>
            </w:r>
            <w:r>
              <w:rPr>
                <w:rFonts w:hint="eastAsia" w:ascii="宋体" w:hAnsi="宋体"/>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dxa"/>
            <w:vMerge w:val="continue"/>
            <w:noWrap w:val="0"/>
            <w:vAlign w:val="center"/>
          </w:tcPr>
          <w:p>
            <w:pPr>
              <w:tabs>
                <w:tab w:val="right" w:leader="dot" w:pos="9060"/>
              </w:tabs>
              <w:spacing w:line="360" w:lineRule="auto"/>
              <w:ind w:left="849" w:hanging="429"/>
              <w:jc w:val="center"/>
              <w:rPr>
                <w:rFonts w:ascii="宋体" w:cs="仿宋_GB2312"/>
                <w:szCs w:val="21"/>
              </w:rPr>
            </w:pPr>
          </w:p>
        </w:tc>
        <w:tc>
          <w:tcPr>
            <w:tcW w:w="813" w:type="dxa"/>
            <w:vMerge w:val="continue"/>
            <w:noWrap w:val="0"/>
            <w:vAlign w:val="center"/>
          </w:tcPr>
          <w:p>
            <w:pPr>
              <w:spacing w:line="360" w:lineRule="auto"/>
              <w:jc w:val="center"/>
              <w:rPr>
                <w:rFonts w:ascii="宋体" w:cs="仿宋_GB2312"/>
                <w:szCs w:val="21"/>
              </w:rPr>
            </w:pPr>
          </w:p>
        </w:tc>
        <w:tc>
          <w:tcPr>
            <w:tcW w:w="2200" w:type="dxa"/>
            <w:gridSpan w:val="2"/>
            <w:noWrap w:val="0"/>
            <w:vAlign w:val="center"/>
          </w:tcPr>
          <w:p>
            <w:pPr>
              <w:spacing w:line="360" w:lineRule="auto"/>
              <w:jc w:val="center"/>
              <w:rPr>
                <w:rFonts w:hAnsi="宋体"/>
                <w:color w:val="auto"/>
                <w:sz w:val="21"/>
                <w:szCs w:val="21"/>
              </w:rPr>
            </w:pPr>
            <w:r>
              <w:rPr>
                <w:rFonts w:hint="eastAsia" w:hAnsi="宋体"/>
                <w:color w:val="auto"/>
                <w:sz w:val="21"/>
                <w:szCs w:val="21"/>
              </w:rPr>
              <w:t>财务要求</w:t>
            </w:r>
          </w:p>
        </w:tc>
        <w:tc>
          <w:tcPr>
            <w:tcW w:w="5350" w:type="dxa"/>
            <w:noWrap w:val="0"/>
            <w:vAlign w:val="center"/>
          </w:tcPr>
          <w:p>
            <w:pPr>
              <w:spacing w:line="360" w:lineRule="auto"/>
              <w:jc w:val="left"/>
              <w:rPr>
                <w:rFonts w:ascii="宋体" w:cs="宋体"/>
                <w:b/>
                <w:kern w:val="0"/>
                <w:szCs w:val="21"/>
              </w:rPr>
            </w:pPr>
            <w:r>
              <w:rPr>
                <w:rFonts w:hint="eastAsia" w:ascii="宋体" w:hAnsi="宋体"/>
                <w:szCs w:val="21"/>
              </w:rPr>
              <w:t>符合第二章“投标人须知”第</w:t>
            </w:r>
            <w:r>
              <w:rPr>
                <w:rFonts w:ascii="宋体" w:hAnsi="宋体"/>
                <w:szCs w:val="21"/>
              </w:rPr>
              <w:t>1.4.1</w:t>
            </w:r>
            <w:r>
              <w:rPr>
                <w:rFonts w:hint="eastAsia" w:ascii="宋体" w:hAnsi="宋体"/>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dxa"/>
            <w:vMerge w:val="continue"/>
            <w:noWrap w:val="0"/>
            <w:vAlign w:val="center"/>
          </w:tcPr>
          <w:p>
            <w:pPr>
              <w:tabs>
                <w:tab w:val="right" w:leader="dot" w:pos="9060"/>
              </w:tabs>
              <w:spacing w:line="360" w:lineRule="auto"/>
              <w:ind w:left="849" w:hanging="429"/>
              <w:jc w:val="center"/>
              <w:rPr>
                <w:rFonts w:ascii="宋体" w:cs="仿宋_GB2312"/>
                <w:szCs w:val="21"/>
              </w:rPr>
            </w:pPr>
          </w:p>
        </w:tc>
        <w:tc>
          <w:tcPr>
            <w:tcW w:w="813" w:type="dxa"/>
            <w:vMerge w:val="continue"/>
            <w:noWrap w:val="0"/>
            <w:vAlign w:val="center"/>
          </w:tcPr>
          <w:p>
            <w:pPr>
              <w:spacing w:line="360" w:lineRule="auto"/>
              <w:jc w:val="center"/>
              <w:rPr>
                <w:rFonts w:ascii="宋体" w:cs="仿宋_GB2312"/>
                <w:szCs w:val="21"/>
              </w:rPr>
            </w:pPr>
          </w:p>
        </w:tc>
        <w:tc>
          <w:tcPr>
            <w:tcW w:w="2200" w:type="dxa"/>
            <w:gridSpan w:val="2"/>
            <w:noWrap w:val="0"/>
            <w:vAlign w:val="center"/>
          </w:tcPr>
          <w:p>
            <w:pPr>
              <w:spacing w:line="360" w:lineRule="auto"/>
              <w:jc w:val="center"/>
              <w:rPr>
                <w:rFonts w:hAnsi="宋体"/>
                <w:color w:val="auto"/>
                <w:sz w:val="21"/>
                <w:szCs w:val="21"/>
              </w:rPr>
            </w:pPr>
            <w:r>
              <w:rPr>
                <w:rFonts w:hint="eastAsia" w:hAnsi="宋体"/>
                <w:color w:val="auto"/>
                <w:kern w:val="2"/>
                <w:sz w:val="21"/>
                <w:szCs w:val="21"/>
              </w:rPr>
              <w:t>其他要求</w:t>
            </w:r>
          </w:p>
        </w:tc>
        <w:tc>
          <w:tcPr>
            <w:tcW w:w="5350" w:type="dxa"/>
            <w:noWrap w:val="0"/>
            <w:vAlign w:val="center"/>
          </w:tcPr>
          <w:p>
            <w:pPr>
              <w:spacing w:line="360" w:lineRule="auto"/>
              <w:jc w:val="left"/>
              <w:rPr>
                <w:rFonts w:ascii="宋体" w:cs="宋体"/>
                <w:kern w:val="0"/>
                <w:szCs w:val="21"/>
              </w:rPr>
            </w:pPr>
            <w:r>
              <w:rPr>
                <w:rFonts w:hint="eastAsia" w:ascii="宋体" w:hAnsi="宋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dxa"/>
            <w:vMerge w:val="restart"/>
            <w:noWrap w:val="0"/>
            <w:vAlign w:val="center"/>
          </w:tcPr>
          <w:p>
            <w:pPr>
              <w:spacing w:line="360" w:lineRule="auto"/>
              <w:jc w:val="center"/>
              <w:rPr>
                <w:rFonts w:hAnsi="宋体" w:cs="仿宋_GB2312"/>
                <w:color w:val="auto"/>
                <w:sz w:val="21"/>
                <w:szCs w:val="21"/>
              </w:rPr>
            </w:pPr>
            <w:r>
              <w:rPr>
                <w:rFonts w:hAnsi="宋体" w:cs="仿宋_GB2312"/>
                <w:color w:val="auto"/>
                <w:sz w:val="21"/>
                <w:szCs w:val="21"/>
              </w:rPr>
              <w:t>2.1.3</w:t>
            </w:r>
          </w:p>
        </w:tc>
        <w:tc>
          <w:tcPr>
            <w:tcW w:w="813" w:type="dxa"/>
            <w:vMerge w:val="restart"/>
            <w:noWrap w:val="0"/>
            <w:vAlign w:val="center"/>
          </w:tcPr>
          <w:p>
            <w:pPr>
              <w:spacing w:line="360" w:lineRule="auto"/>
              <w:jc w:val="center"/>
              <w:rPr>
                <w:rFonts w:hAnsi="宋体" w:cs="仿宋_GB2312"/>
                <w:color w:val="auto"/>
                <w:sz w:val="21"/>
                <w:szCs w:val="21"/>
              </w:rPr>
            </w:pPr>
            <w:r>
              <w:rPr>
                <w:rFonts w:hint="eastAsia" w:hAnsi="宋体" w:cs="仿宋_GB2312"/>
                <w:color w:val="auto"/>
                <w:sz w:val="21"/>
                <w:szCs w:val="21"/>
              </w:rPr>
              <w:t>响应性</w:t>
            </w:r>
          </w:p>
          <w:p>
            <w:pPr>
              <w:spacing w:line="360" w:lineRule="auto"/>
              <w:jc w:val="center"/>
              <w:rPr>
                <w:rFonts w:hAnsi="宋体" w:cs="仿宋_GB2312"/>
                <w:color w:val="auto"/>
                <w:sz w:val="21"/>
                <w:szCs w:val="21"/>
              </w:rPr>
            </w:pPr>
            <w:r>
              <w:rPr>
                <w:rFonts w:hint="eastAsia" w:hAnsi="宋体" w:cs="仿宋_GB2312"/>
                <w:color w:val="auto"/>
                <w:sz w:val="21"/>
                <w:szCs w:val="21"/>
              </w:rPr>
              <w:t>评审标准</w:t>
            </w:r>
          </w:p>
        </w:tc>
        <w:tc>
          <w:tcPr>
            <w:tcW w:w="2200" w:type="dxa"/>
            <w:gridSpan w:val="2"/>
            <w:noWrap w:val="0"/>
            <w:vAlign w:val="center"/>
          </w:tcPr>
          <w:p>
            <w:pPr>
              <w:spacing w:line="360" w:lineRule="auto"/>
              <w:jc w:val="center"/>
              <w:rPr>
                <w:rFonts w:hint="eastAsia" w:ascii="宋体" w:hAnsi="宋体"/>
                <w:szCs w:val="21"/>
              </w:rPr>
            </w:pPr>
            <w:r>
              <w:rPr>
                <w:rFonts w:ascii="宋体" w:hAnsi="宋体"/>
                <w:szCs w:val="21"/>
              </w:rPr>
              <w:t>投标</w:t>
            </w:r>
            <w:r>
              <w:rPr>
                <w:rFonts w:hint="eastAsia" w:ascii="宋体" w:hAnsi="宋体"/>
                <w:szCs w:val="21"/>
              </w:rPr>
              <w:t>范围</w:t>
            </w:r>
          </w:p>
        </w:tc>
        <w:tc>
          <w:tcPr>
            <w:tcW w:w="5350" w:type="dxa"/>
            <w:noWrap w:val="0"/>
            <w:vAlign w:val="center"/>
          </w:tcPr>
          <w:p>
            <w:pPr>
              <w:spacing w:line="360" w:lineRule="auto"/>
              <w:jc w:val="left"/>
              <w:rPr>
                <w:rFonts w:hint="eastAsia" w:ascii="宋体" w:hAnsi="宋体"/>
                <w:szCs w:val="21"/>
              </w:rPr>
            </w:pPr>
            <w:r>
              <w:rPr>
                <w:rFonts w:ascii="宋体" w:hAnsi="宋体"/>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dxa"/>
            <w:vMerge w:val="continue"/>
            <w:noWrap w:val="0"/>
            <w:vAlign w:val="center"/>
          </w:tcPr>
          <w:p>
            <w:pPr>
              <w:spacing w:line="360" w:lineRule="auto"/>
              <w:jc w:val="center"/>
              <w:rPr>
                <w:rFonts w:hAnsi="宋体" w:cs="仿宋_GB2312"/>
                <w:color w:val="auto"/>
                <w:sz w:val="21"/>
                <w:szCs w:val="21"/>
              </w:rPr>
            </w:pPr>
          </w:p>
        </w:tc>
        <w:tc>
          <w:tcPr>
            <w:tcW w:w="813" w:type="dxa"/>
            <w:vMerge w:val="continue"/>
            <w:noWrap w:val="0"/>
            <w:vAlign w:val="center"/>
          </w:tcPr>
          <w:p>
            <w:pPr>
              <w:spacing w:line="360" w:lineRule="auto"/>
              <w:jc w:val="center"/>
              <w:rPr>
                <w:rFonts w:hAnsi="宋体" w:cs="仿宋_GB2312"/>
                <w:color w:val="auto"/>
                <w:sz w:val="21"/>
                <w:szCs w:val="21"/>
              </w:rPr>
            </w:pPr>
          </w:p>
        </w:tc>
        <w:tc>
          <w:tcPr>
            <w:tcW w:w="2200" w:type="dxa"/>
            <w:gridSpan w:val="2"/>
            <w:noWrap w:val="0"/>
            <w:vAlign w:val="center"/>
          </w:tcPr>
          <w:p>
            <w:pPr>
              <w:spacing w:line="360" w:lineRule="auto"/>
              <w:jc w:val="center"/>
              <w:rPr>
                <w:rFonts w:hAnsi="宋体" w:cs="仿宋_GB2312"/>
                <w:szCs w:val="21"/>
              </w:rPr>
            </w:pPr>
            <w:r>
              <w:rPr>
                <w:rFonts w:ascii="宋体" w:hAnsi="宋体"/>
                <w:szCs w:val="21"/>
              </w:rPr>
              <w:t>工期</w:t>
            </w:r>
          </w:p>
        </w:tc>
        <w:tc>
          <w:tcPr>
            <w:tcW w:w="5350" w:type="dxa"/>
            <w:noWrap w:val="0"/>
            <w:vAlign w:val="center"/>
          </w:tcPr>
          <w:p>
            <w:pPr>
              <w:spacing w:line="360" w:lineRule="auto"/>
              <w:jc w:val="left"/>
              <w:rPr>
                <w:rFonts w:ascii="宋体" w:cs="仿宋_GB2312"/>
                <w:szCs w:val="21"/>
              </w:rPr>
            </w:pPr>
            <w:r>
              <w:rPr>
                <w:rFonts w:ascii="宋体" w:hAnsi="宋体"/>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dxa"/>
            <w:vMerge w:val="continue"/>
            <w:noWrap w:val="0"/>
            <w:vAlign w:val="center"/>
          </w:tcPr>
          <w:p>
            <w:pPr>
              <w:spacing w:line="360" w:lineRule="auto"/>
              <w:jc w:val="center"/>
              <w:rPr>
                <w:rFonts w:hAnsi="宋体" w:cs="仿宋_GB2312"/>
                <w:color w:val="auto"/>
                <w:sz w:val="21"/>
                <w:szCs w:val="21"/>
              </w:rPr>
            </w:pPr>
          </w:p>
        </w:tc>
        <w:tc>
          <w:tcPr>
            <w:tcW w:w="813" w:type="dxa"/>
            <w:vMerge w:val="continue"/>
            <w:noWrap w:val="0"/>
            <w:vAlign w:val="center"/>
          </w:tcPr>
          <w:p>
            <w:pPr>
              <w:spacing w:line="360" w:lineRule="auto"/>
              <w:jc w:val="center"/>
              <w:rPr>
                <w:rFonts w:hAnsi="宋体" w:cs="仿宋_GB2312"/>
                <w:color w:val="auto"/>
                <w:sz w:val="21"/>
                <w:szCs w:val="21"/>
              </w:rPr>
            </w:pPr>
          </w:p>
        </w:tc>
        <w:tc>
          <w:tcPr>
            <w:tcW w:w="2200" w:type="dxa"/>
            <w:gridSpan w:val="2"/>
            <w:noWrap w:val="0"/>
            <w:vAlign w:val="center"/>
          </w:tcPr>
          <w:p>
            <w:pPr>
              <w:spacing w:line="360" w:lineRule="auto"/>
              <w:jc w:val="center"/>
              <w:rPr>
                <w:rFonts w:hAnsi="宋体" w:cs="仿宋_GB2312"/>
                <w:szCs w:val="21"/>
              </w:rPr>
            </w:pPr>
            <w:r>
              <w:rPr>
                <w:rFonts w:ascii="宋体" w:hAnsi="宋体"/>
                <w:szCs w:val="21"/>
              </w:rPr>
              <w:t>质量</w:t>
            </w:r>
          </w:p>
        </w:tc>
        <w:tc>
          <w:tcPr>
            <w:tcW w:w="5350" w:type="dxa"/>
            <w:noWrap w:val="0"/>
            <w:vAlign w:val="center"/>
          </w:tcPr>
          <w:p>
            <w:pPr>
              <w:spacing w:line="360" w:lineRule="auto"/>
              <w:jc w:val="left"/>
              <w:rPr>
                <w:rFonts w:ascii="宋体" w:cs="仿宋_GB2312"/>
                <w:szCs w:val="21"/>
              </w:rPr>
            </w:pPr>
            <w:r>
              <w:rPr>
                <w:rFonts w:ascii="宋体" w:hAnsi="宋体"/>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dxa"/>
            <w:vMerge w:val="continue"/>
            <w:noWrap w:val="0"/>
            <w:vAlign w:val="center"/>
          </w:tcPr>
          <w:p>
            <w:pPr>
              <w:spacing w:line="360" w:lineRule="auto"/>
              <w:jc w:val="center"/>
              <w:rPr>
                <w:rFonts w:hAnsi="宋体" w:cs="仿宋_GB2312"/>
                <w:color w:val="auto"/>
                <w:sz w:val="21"/>
                <w:szCs w:val="21"/>
              </w:rPr>
            </w:pPr>
          </w:p>
        </w:tc>
        <w:tc>
          <w:tcPr>
            <w:tcW w:w="813" w:type="dxa"/>
            <w:vMerge w:val="continue"/>
            <w:noWrap w:val="0"/>
            <w:vAlign w:val="center"/>
          </w:tcPr>
          <w:p>
            <w:pPr>
              <w:spacing w:line="360" w:lineRule="auto"/>
              <w:jc w:val="center"/>
              <w:rPr>
                <w:rFonts w:hAnsi="宋体" w:cs="仿宋_GB2312"/>
                <w:color w:val="auto"/>
                <w:sz w:val="21"/>
                <w:szCs w:val="21"/>
              </w:rPr>
            </w:pPr>
          </w:p>
        </w:tc>
        <w:tc>
          <w:tcPr>
            <w:tcW w:w="2200" w:type="dxa"/>
            <w:gridSpan w:val="2"/>
            <w:noWrap w:val="0"/>
            <w:vAlign w:val="center"/>
          </w:tcPr>
          <w:p>
            <w:pPr>
              <w:spacing w:line="360" w:lineRule="auto"/>
              <w:jc w:val="center"/>
              <w:rPr>
                <w:rFonts w:hint="eastAsia" w:ascii="宋体" w:hAnsi="宋体"/>
                <w:szCs w:val="21"/>
              </w:rPr>
            </w:pPr>
            <w:r>
              <w:rPr>
                <w:rFonts w:hint="eastAsia" w:ascii="宋体" w:hAnsi="宋体"/>
                <w:szCs w:val="21"/>
              </w:rPr>
              <w:t>质保期</w:t>
            </w:r>
          </w:p>
        </w:tc>
        <w:tc>
          <w:tcPr>
            <w:tcW w:w="5350" w:type="dxa"/>
            <w:noWrap w:val="0"/>
            <w:vAlign w:val="center"/>
          </w:tcPr>
          <w:p>
            <w:pPr>
              <w:spacing w:line="360" w:lineRule="auto"/>
              <w:jc w:val="left"/>
              <w:rPr>
                <w:rFonts w:ascii="宋体" w:hAnsi="宋体"/>
                <w:szCs w:val="21"/>
              </w:rPr>
            </w:pPr>
            <w:r>
              <w:rPr>
                <w:rFonts w:ascii="宋体" w:hAnsi="宋体"/>
                <w:szCs w:val="21"/>
              </w:rPr>
              <w:t>符合第二章“投标人须知”第1.3.</w:t>
            </w:r>
            <w:r>
              <w:rPr>
                <w:rFonts w:hint="eastAsia" w:ascii="宋体" w:hAnsi="宋体"/>
                <w:szCs w:val="21"/>
              </w:rPr>
              <w:t>4</w:t>
            </w:r>
            <w:r>
              <w:rPr>
                <w:rFonts w:ascii="宋体" w:hAnsi="宋体"/>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dxa"/>
            <w:vMerge w:val="continue"/>
            <w:noWrap w:val="0"/>
            <w:vAlign w:val="center"/>
          </w:tcPr>
          <w:p>
            <w:pPr>
              <w:spacing w:line="360" w:lineRule="auto"/>
              <w:jc w:val="center"/>
              <w:rPr>
                <w:rFonts w:hAnsi="宋体" w:cs="仿宋_GB2312"/>
                <w:color w:val="auto"/>
                <w:sz w:val="21"/>
                <w:szCs w:val="21"/>
              </w:rPr>
            </w:pPr>
          </w:p>
        </w:tc>
        <w:tc>
          <w:tcPr>
            <w:tcW w:w="813" w:type="dxa"/>
            <w:vMerge w:val="continue"/>
            <w:noWrap w:val="0"/>
            <w:vAlign w:val="center"/>
          </w:tcPr>
          <w:p>
            <w:pPr>
              <w:spacing w:line="360" w:lineRule="auto"/>
              <w:jc w:val="center"/>
              <w:rPr>
                <w:rFonts w:hAnsi="宋体" w:cs="仿宋_GB2312"/>
                <w:color w:val="auto"/>
                <w:sz w:val="21"/>
                <w:szCs w:val="21"/>
              </w:rPr>
            </w:pPr>
          </w:p>
        </w:tc>
        <w:tc>
          <w:tcPr>
            <w:tcW w:w="2200" w:type="dxa"/>
            <w:gridSpan w:val="2"/>
            <w:noWrap w:val="0"/>
            <w:vAlign w:val="center"/>
          </w:tcPr>
          <w:p>
            <w:pPr>
              <w:spacing w:line="360" w:lineRule="auto"/>
              <w:jc w:val="center"/>
              <w:rPr>
                <w:rFonts w:hAnsi="宋体" w:cs="仿宋_GB2312"/>
                <w:szCs w:val="21"/>
              </w:rPr>
            </w:pPr>
            <w:r>
              <w:rPr>
                <w:rFonts w:hint="eastAsia" w:ascii="宋体" w:hAnsi="宋体"/>
                <w:szCs w:val="21"/>
              </w:rPr>
              <w:t>投标有效期</w:t>
            </w:r>
          </w:p>
        </w:tc>
        <w:tc>
          <w:tcPr>
            <w:tcW w:w="5350" w:type="dxa"/>
            <w:noWrap w:val="0"/>
            <w:vAlign w:val="center"/>
          </w:tcPr>
          <w:p>
            <w:pPr>
              <w:spacing w:line="360" w:lineRule="auto"/>
              <w:jc w:val="left"/>
              <w:rPr>
                <w:rFonts w:ascii="宋体" w:cs="仿宋_GB2312"/>
                <w:kern w:val="0"/>
                <w:szCs w:val="21"/>
              </w:rPr>
            </w:pPr>
            <w:r>
              <w:rPr>
                <w:rFonts w:ascii="宋体" w:hAnsi="宋体"/>
                <w:szCs w:val="21"/>
              </w:rPr>
              <w:t>符合第二章“投标人须知”第</w:t>
            </w:r>
            <w:r>
              <w:rPr>
                <w:rFonts w:hint="eastAsia" w:ascii="宋体" w:hAnsi="宋体"/>
                <w:szCs w:val="21"/>
              </w:rPr>
              <w:t>3</w:t>
            </w:r>
            <w:r>
              <w:rPr>
                <w:rFonts w:ascii="宋体" w:hAnsi="宋体"/>
                <w:szCs w:val="21"/>
              </w:rPr>
              <w:t>.3.</w:t>
            </w:r>
            <w:r>
              <w:rPr>
                <w:rFonts w:hint="eastAsia" w:ascii="宋体" w:hAnsi="宋体"/>
                <w:szCs w:val="21"/>
              </w:rPr>
              <w:t>1</w:t>
            </w:r>
            <w:r>
              <w:rPr>
                <w:rFonts w:ascii="宋体" w:hAnsi="宋体"/>
                <w:szCs w:val="21"/>
              </w:rPr>
              <w:t>项规</w:t>
            </w:r>
            <w:r>
              <w:rPr>
                <w:rFonts w:hint="eastAsia" w:ascii="宋体" w:hAnsi="宋体"/>
                <w:szCs w:val="21"/>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dxa"/>
            <w:vMerge w:val="continue"/>
            <w:noWrap w:val="0"/>
            <w:vAlign w:val="center"/>
          </w:tcPr>
          <w:p>
            <w:pPr>
              <w:spacing w:line="360" w:lineRule="auto"/>
              <w:jc w:val="center"/>
              <w:rPr>
                <w:rFonts w:hAnsi="宋体" w:cs="仿宋_GB2312"/>
                <w:color w:val="auto"/>
                <w:sz w:val="21"/>
                <w:szCs w:val="21"/>
              </w:rPr>
            </w:pPr>
          </w:p>
        </w:tc>
        <w:tc>
          <w:tcPr>
            <w:tcW w:w="813" w:type="dxa"/>
            <w:vMerge w:val="continue"/>
            <w:noWrap w:val="0"/>
            <w:vAlign w:val="center"/>
          </w:tcPr>
          <w:p>
            <w:pPr>
              <w:spacing w:line="360" w:lineRule="auto"/>
              <w:jc w:val="center"/>
              <w:rPr>
                <w:rFonts w:hAnsi="宋体" w:cs="仿宋_GB2312"/>
                <w:color w:val="auto"/>
                <w:sz w:val="21"/>
                <w:szCs w:val="21"/>
              </w:rPr>
            </w:pPr>
          </w:p>
        </w:tc>
        <w:tc>
          <w:tcPr>
            <w:tcW w:w="2200" w:type="dxa"/>
            <w:gridSpan w:val="2"/>
            <w:noWrap w:val="0"/>
            <w:vAlign w:val="center"/>
          </w:tcPr>
          <w:p>
            <w:pPr>
              <w:spacing w:line="360" w:lineRule="auto"/>
              <w:jc w:val="center"/>
              <w:rPr>
                <w:rFonts w:hAnsi="宋体" w:cs="仿宋_GB2312"/>
                <w:szCs w:val="21"/>
              </w:rPr>
            </w:pPr>
            <w:r>
              <w:rPr>
                <w:rFonts w:hint="eastAsia" w:ascii="宋体" w:hAnsi="宋体"/>
                <w:szCs w:val="21"/>
              </w:rPr>
              <w:t>投标报价</w:t>
            </w:r>
          </w:p>
        </w:tc>
        <w:tc>
          <w:tcPr>
            <w:tcW w:w="5350" w:type="dxa"/>
            <w:noWrap w:val="0"/>
            <w:vAlign w:val="center"/>
          </w:tcPr>
          <w:p>
            <w:pPr>
              <w:spacing w:line="360" w:lineRule="auto"/>
              <w:jc w:val="left"/>
              <w:rPr>
                <w:rFonts w:ascii="宋体" w:cs="仿宋_GB2312"/>
                <w:kern w:val="0"/>
                <w:szCs w:val="21"/>
              </w:rPr>
            </w:pPr>
            <w:r>
              <w:rPr>
                <w:rFonts w:hint="eastAsia" w:ascii="宋体" w:hAnsi="宋体"/>
                <w:szCs w:val="21"/>
              </w:rPr>
              <w:t>不高于招标控制价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773" w:type="dxa"/>
            <w:vMerge w:val="continue"/>
            <w:noWrap w:val="0"/>
            <w:vAlign w:val="center"/>
          </w:tcPr>
          <w:p>
            <w:pPr>
              <w:spacing w:line="360" w:lineRule="auto"/>
              <w:jc w:val="center"/>
              <w:rPr>
                <w:rFonts w:hAnsi="宋体" w:cs="仿宋_GB2312"/>
                <w:color w:val="auto"/>
                <w:sz w:val="21"/>
                <w:szCs w:val="21"/>
              </w:rPr>
            </w:pPr>
          </w:p>
        </w:tc>
        <w:tc>
          <w:tcPr>
            <w:tcW w:w="813" w:type="dxa"/>
            <w:vMerge w:val="continue"/>
            <w:noWrap w:val="0"/>
            <w:vAlign w:val="center"/>
          </w:tcPr>
          <w:p>
            <w:pPr>
              <w:spacing w:line="360" w:lineRule="auto"/>
              <w:jc w:val="center"/>
              <w:rPr>
                <w:rFonts w:hAnsi="宋体" w:cs="仿宋_GB2312"/>
                <w:color w:val="auto"/>
                <w:sz w:val="21"/>
                <w:szCs w:val="21"/>
              </w:rPr>
            </w:pPr>
          </w:p>
        </w:tc>
        <w:tc>
          <w:tcPr>
            <w:tcW w:w="2200" w:type="dxa"/>
            <w:gridSpan w:val="2"/>
            <w:noWrap w:val="0"/>
            <w:vAlign w:val="center"/>
          </w:tcPr>
          <w:p>
            <w:pPr>
              <w:spacing w:line="360" w:lineRule="auto"/>
              <w:jc w:val="center"/>
              <w:rPr>
                <w:rFonts w:hAnsi="宋体" w:cs="仿宋_GB2312"/>
                <w:szCs w:val="21"/>
              </w:rPr>
            </w:pPr>
            <w:r>
              <w:rPr>
                <w:rFonts w:hint="eastAsia" w:ascii="宋体" w:hAnsi="宋体"/>
                <w:szCs w:val="21"/>
              </w:rPr>
              <w:t>已标价工程量清单</w:t>
            </w:r>
          </w:p>
        </w:tc>
        <w:tc>
          <w:tcPr>
            <w:tcW w:w="5350" w:type="dxa"/>
            <w:noWrap w:val="0"/>
            <w:vAlign w:val="center"/>
          </w:tcPr>
          <w:p>
            <w:pPr>
              <w:spacing w:line="360" w:lineRule="auto"/>
              <w:rPr>
                <w:rFonts w:ascii="宋体" w:cs="仿宋_GB2312"/>
                <w:kern w:val="0"/>
                <w:szCs w:val="21"/>
              </w:rPr>
            </w:pPr>
            <w:r>
              <w:rPr>
                <w:rFonts w:ascii="宋体" w:hAnsi="宋体"/>
                <w:szCs w:val="21"/>
                <w:lang w:bidi="zh-CN"/>
              </w:rPr>
              <w:t>符合第五章“工程量清单”给出的项目编码、项目名称、项目特征、计量单位和工程量。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73" w:type="dxa"/>
            <w:vMerge w:val="continue"/>
            <w:noWrap w:val="0"/>
            <w:vAlign w:val="center"/>
          </w:tcPr>
          <w:p>
            <w:pPr>
              <w:spacing w:line="360" w:lineRule="auto"/>
              <w:jc w:val="center"/>
              <w:rPr>
                <w:rFonts w:hAnsi="宋体" w:cs="仿宋_GB2312"/>
                <w:color w:val="auto"/>
                <w:sz w:val="21"/>
                <w:szCs w:val="21"/>
              </w:rPr>
            </w:pPr>
          </w:p>
        </w:tc>
        <w:tc>
          <w:tcPr>
            <w:tcW w:w="813" w:type="dxa"/>
            <w:vMerge w:val="continue"/>
            <w:noWrap w:val="0"/>
            <w:vAlign w:val="center"/>
          </w:tcPr>
          <w:p>
            <w:pPr>
              <w:spacing w:line="360" w:lineRule="auto"/>
              <w:jc w:val="center"/>
              <w:rPr>
                <w:rFonts w:hAnsi="宋体" w:cs="仿宋_GB2312"/>
                <w:color w:val="auto"/>
                <w:sz w:val="21"/>
                <w:szCs w:val="21"/>
              </w:rPr>
            </w:pPr>
          </w:p>
        </w:tc>
        <w:tc>
          <w:tcPr>
            <w:tcW w:w="2200" w:type="dxa"/>
            <w:gridSpan w:val="2"/>
            <w:noWrap w:val="0"/>
            <w:vAlign w:val="center"/>
          </w:tcPr>
          <w:p>
            <w:pPr>
              <w:spacing w:line="360" w:lineRule="auto"/>
              <w:jc w:val="center"/>
              <w:rPr>
                <w:rFonts w:hAnsi="宋体" w:cs="仿宋_GB2312"/>
                <w:szCs w:val="21"/>
              </w:rPr>
            </w:pPr>
            <w:r>
              <w:rPr>
                <w:rFonts w:hint="eastAsia" w:ascii="宋体" w:hAnsi="宋体"/>
                <w:szCs w:val="21"/>
              </w:rPr>
              <w:t>技术标准和要求</w:t>
            </w:r>
          </w:p>
        </w:tc>
        <w:tc>
          <w:tcPr>
            <w:tcW w:w="5350" w:type="dxa"/>
            <w:noWrap w:val="0"/>
            <w:vAlign w:val="center"/>
          </w:tcPr>
          <w:p>
            <w:pPr>
              <w:spacing w:line="360" w:lineRule="auto"/>
              <w:rPr>
                <w:rFonts w:hAnsi="宋体" w:cs="仿宋_GB2312"/>
                <w:szCs w:val="21"/>
              </w:rPr>
            </w:pPr>
            <w:r>
              <w:rPr>
                <w:rFonts w:hint="eastAsia" w:ascii="宋体" w:hAnsi="宋体"/>
                <w:szCs w:val="21"/>
                <w:lang w:bidi="zh-CN"/>
              </w:rPr>
              <w:t>符合第</w:t>
            </w:r>
            <w:r>
              <w:rPr>
                <w:rFonts w:hint="eastAsia" w:ascii="宋体" w:hAnsi="宋体"/>
                <w:szCs w:val="21"/>
                <w:lang w:val="en-US" w:bidi="zh-CN"/>
              </w:rPr>
              <w:t>六</w:t>
            </w:r>
            <w:r>
              <w:rPr>
                <w:rFonts w:hint="eastAsia" w:ascii="宋体" w:hAnsi="宋体"/>
                <w:szCs w:val="21"/>
                <w:lang w:bidi="zh-CN"/>
              </w:rPr>
              <w:t>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136" w:type="dxa"/>
            <w:gridSpan w:val="5"/>
            <w:noWrap w:val="0"/>
            <w:vAlign w:val="center"/>
          </w:tcPr>
          <w:p>
            <w:pPr>
              <w:spacing w:line="360" w:lineRule="auto"/>
              <w:rPr>
                <w:rFonts w:hint="eastAsia" w:ascii="宋体" w:hAnsi="宋体"/>
                <w:szCs w:val="21"/>
                <w:lang w:bidi="zh-CN"/>
              </w:rPr>
            </w:pPr>
            <w:r>
              <w:rPr>
                <w:rFonts w:ascii="宋体" w:hAnsi="宋体"/>
                <w:szCs w:val="21"/>
                <w:lang w:bidi="zh-CN"/>
              </w:rPr>
              <w:t>注：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36" w:type="dxa"/>
            <w:gridSpan w:val="5"/>
            <w:noWrap w:val="0"/>
            <w:vAlign w:val="center"/>
          </w:tcPr>
          <w:p>
            <w:pPr>
              <w:spacing w:line="360" w:lineRule="auto"/>
              <w:jc w:val="center"/>
              <w:rPr>
                <w:rFonts w:ascii="宋体" w:hAnsi="宋体"/>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86" w:type="dxa"/>
            <w:gridSpan w:val="2"/>
            <w:noWrap w:val="0"/>
            <w:vAlign w:val="center"/>
          </w:tcPr>
          <w:p>
            <w:pPr>
              <w:spacing w:line="360" w:lineRule="auto"/>
              <w:ind w:firstLine="422" w:firstLineChars="200"/>
              <w:rPr>
                <w:rFonts w:hAnsi="宋体" w:cs="仿宋_GB2312"/>
                <w:b/>
                <w:bCs/>
                <w:szCs w:val="21"/>
              </w:rPr>
            </w:pPr>
            <w:r>
              <w:rPr>
                <w:rFonts w:hint="eastAsia" w:hAnsi="宋体" w:cs="仿宋_GB2312"/>
                <w:b/>
                <w:bCs/>
                <w:szCs w:val="21"/>
              </w:rPr>
              <w:t>条款号</w:t>
            </w:r>
          </w:p>
        </w:tc>
        <w:tc>
          <w:tcPr>
            <w:tcW w:w="1512" w:type="dxa"/>
            <w:noWrap w:val="0"/>
            <w:vAlign w:val="center"/>
          </w:tcPr>
          <w:p>
            <w:pPr>
              <w:spacing w:line="360" w:lineRule="auto"/>
              <w:jc w:val="center"/>
              <w:rPr>
                <w:rFonts w:hAnsi="宋体" w:cs="仿宋_GB2312"/>
                <w:b/>
                <w:bCs/>
                <w:color w:val="auto"/>
                <w:sz w:val="21"/>
                <w:szCs w:val="21"/>
              </w:rPr>
            </w:pPr>
            <w:r>
              <w:rPr>
                <w:rFonts w:hint="eastAsia" w:hAnsi="宋体" w:cs="仿宋_GB2312"/>
                <w:b/>
                <w:bCs/>
                <w:color w:val="auto"/>
                <w:sz w:val="21"/>
                <w:szCs w:val="21"/>
              </w:rPr>
              <w:t>条款内容</w:t>
            </w:r>
          </w:p>
        </w:tc>
        <w:tc>
          <w:tcPr>
            <w:tcW w:w="6038" w:type="dxa"/>
            <w:gridSpan w:val="2"/>
            <w:noWrap w:val="0"/>
            <w:vAlign w:val="center"/>
          </w:tcPr>
          <w:p>
            <w:pPr>
              <w:spacing w:line="360" w:lineRule="auto"/>
              <w:jc w:val="center"/>
              <w:rPr>
                <w:rFonts w:hAnsi="宋体" w:cs="仿宋_GB2312"/>
                <w:b/>
                <w:bCs/>
                <w:color w:val="auto"/>
                <w:sz w:val="21"/>
                <w:szCs w:val="21"/>
              </w:rPr>
            </w:pPr>
            <w:r>
              <w:rPr>
                <w:rFonts w:hint="eastAsia" w:hAnsi="宋体" w:cs="仿宋_GB2312"/>
                <w:b/>
                <w:bCs/>
                <w:color w:val="auto"/>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6" w:type="dxa"/>
            <w:gridSpan w:val="2"/>
            <w:noWrap w:val="0"/>
            <w:vAlign w:val="center"/>
          </w:tcPr>
          <w:p>
            <w:pPr>
              <w:spacing w:line="360" w:lineRule="auto"/>
              <w:jc w:val="center"/>
              <w:rPr>
                <w:rFonts w:hAnsi="宋体" w:cs="仿宋_GB2312"/>
                <w:color w:val="auto"/>
                <w:sz w:val="21"/>
                <w:szCs w:val="21"/>
              </w:rPr>
            </w:pPr>
            <w:r>
              <w:rPr>
                <w:rFonts w:hAnsi="宋体" w:cs="仿宋_GB2312"/>
                <w:color w:val="auto"/>
                <w:sz w:val="21"/>
                <w:szCs w:val="21"/>
              </w:rPr>
              <w:t>2.2.1</w:t>
            </w:r>
          </w:p>
        </w:tc>
        <w:tc>
          <w:tcPr>
            <w:tcW w:w="1512" w:type="dxa"/>
            <w:noWrap w:val="0"/>
            <w:vAlign w:val="center"/>
          </w:tcPr>
          <w:p>
            <w:pPr>
              <w:spacing w:line="360" w:lineRule="auto"/>
              <w:jc w:val="center"/>
              <w:rPr>
                <w:rFonts w:hAnsi="宋体" w:cs="仿宋_GB2312"/>
                <w:color w:val="auto"/>
                <w:sz w:val="21"/>
                <w:szCs w:val="21"/>
              </w:rPr>
            </w:pPr>
            <w:r>
              <w:rPr>
                <w:rFonts w:hint="eastAsia" w:hAnsi="宋体" w:cs="仿宋_GB2312"/>
                <w:color w:val="auto"/>
                <w:sz w:val="21"/>
                <w:szCs w:val="21"/>
              </w:rPr>
              <w:t>分值组成</w:t>
            </w:r>
          </w:p>
          <w:p>
            <w:pPr>
              <w:spacing w:line="360" w:lineRule="auto"/>
              <w:jc w:val="center"/>
              <w:rPr>
                <w:rFonts w:hAnsi="宋体" w:cs="仿宋_GB2312"/>
                <w:color w:val="auto"/>
                <w:sz w:val="21"/>
                <w:szCs w:val="21"/>
              </w:rPr>
            </w:pPr>
            <w:r>
              <w:rPr>
                <w:rFonts w:hint="eastAsia" w:hAnsi="宋体" w:cs="仿宋_GB2312"/>
                <w:color w:val="auto"/>
                <w:sz w:val="21"/>
                <w:szCs w:val="21"/>
              </w:rPr>
              <w:t>（总分</w:t>
            </w:r>
            <w:r>
              <w:rPr>
                <w:rFonts w:hAnsi="宋体" w:cs="仿宋_GB2312"/>
                <w:color w:val="auto"/>
                <w:sz w:val="21"/>
                <w:szCs w:val="21"/>
              </w:rPr>
              <w:t>100</w:t>
            </w:r>
            <w:r>
              <w:rPr>
                <w:rFonts w:hint="eastAsia" w:hAnsi="宋体" w:cs="仿宋_GB2312"/>
                <w:color w:val="auto"/>
                <w:sz w:val="21"/>
                <w:szCs w:val="21"/>
              </w:rPr>
              <w:t>分）</w:t>
            </w:r>
          </w:p>
        </w:tc>
        <w:tc>
          <w:tcPr>
            <w:tcW w:w="6038" w:type="dxa"/>
            <w:gridSpan w:val="2"/>
            <w:noWrap w:val="0"/>
            <w:vAlign w:val="center"/>
          </w:tcPr>
          <w:p>
            <w:pPr>
              <w:spacing w:line="360" w:lineRule="auto"/>
              <w:jc w:val="both"/>
              <w:rPr>
                <w:rFonts w:hAnsi="宋体"/>
                <w:color w:val="auto"/>
                <w:kern w:val="2"/>
                <w:sz w:val="21"/>
                <w:szCs w:val="21"/>
                <w:lang w:bidi="zh-CN"/>
              </w:rPr>
            </w:pPr>
            <w:r>
              <w:rPr>
                <w:rFonts w:hint="eastAsia" w:hAnsi="宋体"/>
                <w:color w:val="auto"/>
                <w:kern w:val="2"/>
                <w:sz w:val="21"/>
                <w:szCs w:val="21"/>
                <w:lang w:bidi="zh-CN"/>
              </w:rPr>
              <w:t>商务标评分标准：</w:t>
            </w:r>
            <w:r>
              <w:rPr>
                <w:rFonts w:hint="eastAsia" w:hAnsi="宋体"/>
                <w:color w:val="auto"/>
                <w:kern w:val="2"/>
                <w:sz w:val="21"/>
                <w:szCs w:val="21"/>
                <w:lang w:val="en-US" w:bidi="zh-CN"/>
              </w:rPr>
              <w:t>30</w:t>
            </w:r>
            <w:r>
              <w:rPr>
                <w:rFonts w:hint="eastAsia" w:hAnsi="宋体"/>
                <w:color w:val="auto"/>
                <w:kern w:val="2"/>
                <w:sz w:val="21"/>
                <w:szCs w:val="21"/>
                <w:lang w:bidi="zh-CN"/>
              </w:rPr>
              <w:t>分</w:t>
            </w:r>
          </w:p>
          <w:p>
            <w:pPr>
              <w:spacing w:line="360" w:lineRule="auto"/>
              <w:jc w:val="both"/>
              <w:rPr>
                <w:rFonts w:hAnsi="宋体"/>
                <w:color w:val="auto"/>
                <w:kern w:val="2"/>
                <w:sz w:val="21"/>
                <w:szCs w:val="21"/>
                <w:lang w:bidi="zh-CN"/>
              </w:rPr>
            </w:pPr>
            <w:r>
              <w:rPr>
                <w:rFonts w:hint="eastAsia" w:hAnsi="宋体"/>
                <w:color w:val="auto"/>
                <w:kern w:val="2"/>
                <w:sz w:val="21"/>
                <w:szCs w:val="21"/>
                <w:lang w:bidi="zh-CN"/>
              </w:rPr>
              <w:t>技术标评分标准：</w:t>
            </w:r>
            <w:r>
              <w:rPr>
                <w:rFonts w:hint="eastAsia" w:hAnsi="宋体"/>
                <w:color w:val="auto"/>
                <w:kern w:val="2"/>
                <w:sz w:val="21"/>
                <w:szCs w:val="21"/>
                <w:lang w:val="en-US" w:bidi="zh-CN"/>
              </w:rPr>
              <w:t>55</w:t>
            </w:r>
            <w:r>
              <w:rPr>
                <w:rFonts w:hint="eastAsia" w:hAnsi="宋体"/>
                <w:color w:val="auto"/>
                <w:kern w:val="2"/>
                <w:sz w:val="21"/>
                <w:szCs w:val="21"/>
                <w:lang w:bidi="zh-CN"/>
              </w:rPr>
              <w:t>分</w:t>
            </w:r>
          </w:p>
          <w:p>
            <w:pPr>
              <w:spacing w:line="360" w:lineRule="auto"/>
              <w:jc w:val="both"/>
              <w:rPr>
                <w:rFonts w:hAnsi="宋体"/>
                <w:color w:val="auto"/>
                <w:kern w:val="2"/>
                <w:sz w:val="21"/>
                <w:szCs w:val="21"/>
                <w:lang w:bidi="zh-CN"/>
              </w:rPr>
            </w:pPr>
            <w:r>
              <w:rPr>
                <w:rFonts w:hint="eastAsia" w:hAnsi="宋体"/>
                <w:color w:val="auto"/>
                <w:kern w:val="2"/>
                <w:sz w:val="21"/>
                <w:szCs w:val="21"/>
                <w:lang w:bidi="zh-CN"/>
              </w:rPr>
              <w:t>综合标评分标准：</w:t>
            </w:r>
            <w:r>
              <w:rPr>
                <w:rFonts w:hint="eastAsia" w:hAnsi="宋体"/>
                <w:color w:val="auto"/>
                <w:kern w:val="2"/>
                <w:sz w:val="21"/>
                <w:szCs w:val="21"/>
                <w:lang w:val="en-US" w:bidi="zh-CN"/>
              </w:rPr>
              <w:t>15</w:t>
            </w:r>
            <w:r>
              <w:rPr>
                <w:rFonts w:hint="eastAsia" w:hAnsi="宋体"/>
                <w:color w:val="auto"/>
                <w:kern w:val="2"/>
                <w:sz w:val="21"/>
                <w:szCs w:val="21"/>
                <w:lang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586" w:type="dxa"/>
            <w:gridSpan w:val="2"/>
            <w:noWrap w:val="0"/>
            <w:vAlign w:val="center"/>
          </w:tcPr>
          <w:p>
            <w:pPr>
              <w:spacing w:line="360" w:lineRule="auto"/>
              <w:jc w:val="center"/>
              <w:rPr>
                <w:rFonts w:hAnsi="宋体" w:cs="仿宋_GB2312"/>
                <w:color w:val="auto"/>
                <w:sz w:val="21"/>
                <w:szCs w:val="21"/>
              </w:rPr>
            </w:pPr>
            <w:r>
              <w:rPr>
                <w:rFonts w:hAnsi="宋体" w:cs="仿宋_GB2312"/>
                <w:color w:val="auto"/>
                <w:sz w:val="21"/>
                <w:szCs w:val="21"/>
              </w:rPr>
              <w:t>2.2.2</w:t>
            </w:r>
          </w:p>
        </w:tc>
        <w:tc>
          <w:tcPr>
            <w:tcW w:w="1512" w:type="dxa"/>
            <w:noWrap w:val="0"/>
            <w:vAlign w:val="center"/>
          </w:tcPr>
          <w:p>
            <w:pPr>
              <w:spacing w:line="360" w:lineRule="auto"/>
              <w:jc w:val="center"/>
              <w:rPr>
                <w:rFonts w:hAnsi="宋体" w:cs="仿宋_GB2312"/>
                <w:color w:val="auto"/>
                <w:sz w:val="21"/>
                <w:szCs w:val="21"/>
                <w:highlight w:val="none"/>
              </w:rPr>
            </w:pPr>
            <w:r>
              <w:rPr>
                <w:rFonts w:hint="eastAsia" w:ascii="Calibri" w:hAnsi="Calibri"/>
                <w:sz w:val="21"/>
                <w:szCs w:val="21"/>
                <w:highlight w:val="none"/>
              </w:rPr>
              <w:t>最终磋商报价（30分）</w:t>
            </w:r>
          </w:p>
        </w:tc>
        <w:tc>
          <w:tcPr>
            <w:tcW w:w="6038" w:type="dxa"/>
            <w:gridSpan w:val="2"/>
            <w:noWrap w:val="0"/>
            <w:vAlign w:val="center"/>
          </w:tcPr>
          <w:p>
            <w:pPr>
              <w:spacing w:line="360" w:lineRule="auto"/>
              <w:rPr>
                <w:rFonts w:hint="eastAsia" w:hAnsi="宋体" w:eastAsia="宋体"/>
                <w:color w:val="auto"/>
                <w:sz w:val="21"/>
                <w:szCs w:val="21"/>
                <w:highlight w:val="none"/>
                <w:lang w:eastAsia="zh-CN" w:bidi="zh-CN"/>
              </w:rPr>
            </w:pPr>
            <w:r>
              <w:rPr>
                <w:rFonts w:hint="eastAsia" w:hAnsi="宋体" w:eastAsia="宋体"/>
                <w:color w:val="auto"/>
                <w:sz w:val="21"/>
                <w:szCs w:val="21"/>
                <w:highlight w:val="none"/>
                <w:lang w:eastAsia="zh-CN" w:bidi="zh-CN"/>
              </w:rPr>
              <w:t>综合评分法中的价格分统一采用低价优先法计算，即满足文件要求且最后报价最低的供应商的价格为基准价，其价格分为满分。其他供应商的价格分统一按照下列公式计算：</w:t>
            </w:r>
          </w:p>
          <w:p>
            <w:pPr>
              <w:spacing w:line="360" w:lineRule="auto"/>
              <w:rPr>
                <w:rFonts w:hint="eastAsia" w:hAnsi="宋体" w:eastAsia="宋体"/>
                <w:color w:val="auto"/>
                <w:sz w:val="21"/>
                <w:szCs w:val="21"/>
                <w:highlight w:val="none"/>
                <w:lang w:eastAsia="zh-CN" w:bidi="zh-CN"/>
              </w:rPr>
            </w:pPr>
            <w:r>
              <w:rPr>
                <w:rFonts w:hint="eastAsia" w:hAnsi="宋体" w:eastAsia="宋体"/>
                <w:color w:val="auto"/>
                <w:sz w:val="21"/>
                <w:szCs w:val="21"/>
                <w:highlight w:val="none"/>
                <w:lang w:eastAsia="zh-CN" w:bidi="zh-CN"/>
              </w:rPr>
              <w:t>磋商报价得分=(磋商基准价/最后磋商报价)×30%×100</w:t>
            </w:r>
          </w:p>
          <w:p>
            <w:pPr>
              <w:spacing w:line="360" w:lineRule="auto"/>
              <w:rPr>
                <w:rFonts w:hint="eastAsia" w:hAnsi="宋体" w:eastAsia="宋体"/>
                <w:color w:val="auto"/>
                <w:sz w:val="21"/>
                <w:szCs w:val="21"/>
                <w:highlight w:val="none"/>
                <w:lang w:eastAsia="zh-CN" w:bidi="zh-CN"/>
              </w:rPr>
            </w:pPr>
            <w:r>
              <w:rPr>
                <w:rFonts w:hint="eastAsia" w:hAnsi="宋体" w:eastAsia="宋体"/>
                <w:color w:val="auto"/>
                <w:sz w:val="21"/>
                <w:szCs w:val="21"/>
                <w:highlight w:val="none"/>
                <w:lang w:eastAsia="zh-CN" w:bidi="zh-CN"/>
              </w:rPr>
              <w:t>注：1、项目评审过程中，不得去掉最后报价中的最高报价和最低报价。</w:t>
            </w:r>
          </w:p>
          <w:p>
            <w:pPr>
              <w:spacing w:line="360" w:lineRule="auto"/>
              <w:rPr>
                <w:rFonts w:hint="eastAsia" w:hAnsi="宋体" w:eastAsia="宋体"/>
                <w:color w:val="auto"/>
                <w:sz w:val="21"/>
                <w:szCs w:val="21"/>
                <w:highlight w:val="none"/>
                <w:lang w:eastAsia="zh-CN" w:bidi="zh-CN"/>
              </w:rPr>
            </w:pPr>
            <w:r>
              <w:rPr>
                <w:rFonts w:hint="eastAsia" w:hAnsi="宋体" w:eastAsia="宋体"/>
                <w:color w:val="auto"/>
                <w:sz w:val="21"/>
                <w:szCs w:val="21"/>
                <w:highlight w:val="none"/>
                <w:lang w:eastAsia="zh-CN" w:bidi="zh-CN"/>
              </w:rPr>
              <w:t>2、供应商应充分考虑各种因素，磋商报价是评标综合打分的依据之一，但不是唯一依据。</w:t>
            </w:r>
          </w:p>
          <w:p>
            <w:pPr>
              <w:spacing w:line="360" w:lineRule="auto"/>
              <w:rPr>
                <w:rFonts w:hint="eastAsia" w:hAnsi="宋体" w:eastAsia="宋体"/>
                <w:color w:val="auto"/>
                <w:sz w:val="21"/>
                <w:szCs w:val="21"/>
                <w:highlight w:val="none"/>
                <w:lang w:eastAsia="zh-CN" w:bidi="zh-CN"/>
              </w:rPr>
            </w:pPr>
            <w:r>
              <w:rPr>
                <w:rFonts w:hint="eastAsia" w:hAnsi="宋体" w:eastAsia="宋体"/>
                <w:color w:val="auto"/>
                <w:sz w:val="21"/>
                <w:szCs w:val="21"/>
                <w:highlight w:val="none"/>
                <w:lang w:eastAsia="zh-CN" w:bidi="zh-CN"/>
              </w:rPr>
              <w:t>3、磋商小组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磋商小组认定该供应商以低于成本报价竞标，否决其投标。</w:t>
            </w:r>
          </w:p>
          <w:p>
            <w:pPr>
              <w:spacing w:line="360" w:lineRule="auto"/>
              <w:rPr>
                <w:rFonts w:ascii="宋体" w:hAnsi="宋体"/>
                <w:sz w:val="21"/>
                <w:szCs w:val="21"/>
                <w:highlight w:val="none"/>
                <w:lang w:bidi="zh-CN"/>
              </w:rPr>
            </w:pPr>
            <w:r>
              <w:rPr>
                <w:rFonts w:hint="eastAsia" w:hAnsi="宋体" w:eastAsia="宋体"/>
                <w:color w:val="auto"/>
                <w:sz w:val="21"/>
                <w:szCs w:val="21"/>
                <w:highlight w:val="none"/>
                <w:lang w:eastAsia="zh-CN" w:bidi="zh-CN"/>
              </w:rPr>
              <w:t>4、本项目专门面向中小企业采购，不再执行价格评审优惠的扶持政策。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86" w:type="dxa"/>
            <w:gridSpan w:val="2"/>
            <w:noWrap w:val="0"/>
            <w:vAlign w:val="center"/>
          </w:tcPr>
          <w:p>
            <w:pPr>
              <w:spacing w:line="360" w:lineRule="auto"/>
              <w:jc w:val="center"/>
              <w:rPr>
                <w:rFonts w:hAnsi="宋体" w:cs="仿宋_GB2312"/>
                <w:b/>
                <w:bCs/>
                <w:color w:val="auto"/>
                <w:sz w:val="21"/>
                <w:szCs w:val="21"/>
              </w:rPr>
            </w:pPr>
            <w:r>
              <w:rPr>
                <w:rFonts w:hint="eastAsia" w:hAnsi="宋体" w:cs="仿宋_GB2312"/>
                <w:b/>
                <w:bCs/>
                <w:color w:val="auto"/>
                <w:sz w:val="21"/>
                <w:szCs w:val="21"/>
              </w:rPr>
              <w:t>条款号</w:t>
            </w:r>
          </w:p>
        </w:tc>
        <w:tc>
          <w:tcPr>
            <w:tcW w:w="1512" w:type="dxa"/>
            <w:noWrap w:val="0"/>
            <w:vAlign w:val="center"/>
          </w:tcPr>
          <w:p>
            <w:pPr>
              <w:spacing w:line="360" w:lineRule="auto"/>
              <w:jc w:val="center"/>
              <w:rPr>
                <w:rFonts w:hAnsi="宋体" w:cs="仿宋_GB2312"/>
                <w:b/>
                <w:bCs/>
                <w:color w:val="auto"/>
                <w:sz w:val="21"/>
                <w:szCs w:val="21"/>
              </w:rPr>
            </w:pPr>
            <w:r>
              <w:rPr>
                <w:rFonts w:hint="eastAsia" w:hAnsi="宋体" w:cs="仿宋_GB2312"/>
                <w:b/>
                <w:bCs/>
                <w:color w:val="auto"/>
                <w:sz w:val="21"/>
                <w:szCs w:val="21"/>
                <w:lang w:val="en-US" w:eastAsia="zh-CN"/>
              </w:rPr>
              <w:t>评分</w:t>
            </w:r>
            <w:r>
              <w:rPr>
                <w:rFonts w:hint="eastAsia" w:hAnsi="宋体" w:cs="仿宋_GB2312"/>
                <w:b/>
                <w:bCs/>
                <w:color w:val="auto"/>
                <w:sz w:val="21"/>
                <w:szCs w:val="21"/>
              </w:rPr>
              <w:t>因素</w:t>
            </w:r>
          </w:p>
        </w:tc>
        <w:tc>
          <w:tcPr>
            <w:tcW w:w="6038" w:type="dxa"/>
            <w:gridSpan w:val="2"/>
            <w:noWrap w:val="0"/>
            <w:vAlign w:val="center"/>
          </w:tcPr>
          <w:p>
            <w:pPr>
              <w:spacing w:line="360" w:lineRule="auto"/>
              <w:jc w:val="center"/>
              <w:rPr>
                <w:rFonts w:hAnsi="宋体" w:cs="仿宋_GB2312"/>
                <w:b/>
                <w:bCs/>
                <w:color w:val="auto"/>
                <w:sz w:val="21"/>
                <w:szCs w:val="21"/>
              </w:rPr>
            </w:pPr>
            <w:r>
              <w:rPr>
                <w:rFonts w:hint="eastAsia" w:hAnsi="宋体" w:cs="仿宋_GB2312"/>
                <w:b/>
                <w:bCs/>
                <w:color w:val="auto"/>
                <w:sz w:val="21"/>
                <w:szCs w:val="21"/>
                <w:lang w:val="en-US" w:eastAsia="zh-CN"/>
              </w:rPr>
              <w:t>评分</w:t>
            </w:r>
            <w:r>
              <w:rPr>
                <w:rFonts w:hint="eastAsia" w:hAnsi="宋体" w:cs="仿宋_GB2312"/>
                <w:b/>
                <w:bCs/>
                <w:color w:val="auto"/>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Merge w:val="restart"/>
            <w:noWrap w:val="0"/>
            <w:vAlign w:val="center"/>
          </w:tcPr>
          <w:p>
            <w:pPr>
              <w:spacing w:line="360" w:lineRule="auto"/>
              <w:jc w:val="center"/>
              <w:rPr>
                <w:rFonts w:hint="eastAsia" w:hAnsi="宋体" w:eastAsia="宋体" w:cs="仿宋_GB2312"/>
                <w:color w:val="auto"/>
                <w:sz w:val="21"/>
                <w:szCs w:val="21"/>
                <w:lang w:val="en-US" w:eastAsia="zh-CN"/>
              </w:rPr>
            </w:pPr>
            <w:r>
              <w:rPr>
                <w:rFonts w:hAnsi="宋体" w:cs="仿宋_GB2312"/>
                <w:color w:val="auto"/>
                <w:sz w:val="21"/>
                <w:szCs w:val="21"/>
              </w:rPr>
              <w:t>2.2.</w:t>
            </w:r>
            <w:r>
              <w:rPr>
                <w:rFonts w:hint="eastAsia" w:hAnsi="宋体" w:cs="仿宋_GB2312"/>
                <w:color w:val="auto"/>
                <w:sz w:val="21"/>
                <w:szCs w:val="21"/>
                <w:lang w:val="en-US" w:eastAsia="zh-CN"/>
              </w:rPr>
              <w:t>3</w:t>
            </w:r>
          </w:p>
        </w:tc>
        <w:tc>
          <w:tcPr>
            <w:tcW w:w="813" w:type="dxa"/>
            <w:vMerge w:val="restart"/>
            <w:noWrap w:val="0"/>
            <w:vAlign w:val="center"/>
          </w:tcPr>
          <w:p>
            <w:pPr>
              <w:spacing w:line="360" w:lineRule="auto"/>
              <w:jc w:val="center"/>
              <w:rPr>
                <w:rFonts w:hint="eastAsia" w:hAnsi="宋体" w:cs="仿宋_GB2312"/>
                <w:color w:val="auto"/>
                <w:sz w:val="21"/>
                <w:szCs w:val="21"/>
              </w:rPr>
            </w:pPr>
            <w:r>
              <w:rPr>
                <w:rFonts w:hint="eastAsia" w:hAnsi="宋体" w:cs="仿宋_GB2312"/>
                <w:color w:val="auto"/>
                <w:sz w:val="21"/>
                <w:szCs w:val="21"/>
              </w:rPr>
              <w:t>技术标评分标准</w:t>
            </w:r>
          </w:p>
          <w:p>
            <w:pPr>
              <w:spacing w:line="360" w:lineRule="auto"/>
              <w:jc w:val="center"/>
              <w:rPr>
                <w:rFonts w:hint="eastAsia" w:hAnsi="宋体" w:eastAsia="宋体" w:cs="仿宋_GB2312"/>
                <w:color w:val="auto"/>
                <w:sz w:val="21"/>
                <w:szCs w:val="21"/>
                <w:lang w:eastAsia="zh-CN"/>
              </w:rPr>
            </w:pPr>
            <w:r>
              <w:rPr>
                <w:rFonts w:hint="eastAsia" w:hAnsi="宋体" w:cs="仿宋_GB2312"/>
                <w:color w:val="auto"/>
                <w:sz w:val="21"/>
                <w:szCs w:val="21"/>
                <w:lang w:val="en-US" w:eastAsia="zh-CN"/>
              </w:rPr>
              <w:t>（55</w:t>
            </w:r>
            <w:r>
              <w:rPr>
                <w:rFonts w:hint="eastAsia" w:hAnsi="宋体" w:cs="仿宋_GB2312"/>
                <w:color w:val="auto"/>
                <w:sz w:val="21"/>
                <w:szCs w:val="21"/>
              </w:rPr>
              <w:t>分</w:t>
            </w:r>
            <w:r>
              <w:rPr>
                <w:rFonts w:hint="eastAsia" w:hAnsi="宋体" w:cs="仿宋_GB2312"/>
                <w:color w:val="auto"/>
                <w:sz w:val="21"/>
                <w:szCs w:val="21"/>
                <w:lang w:eastAsia="zh-CN"/>
              </w:rPr>
              <w:t>）</w:t>
            </w:r>
          </w:p>
        </w:tc>
        <w:tc>
          <w:tcPr>
            <w:tcW w:w="7550" w:type="dxa"/>
            <w:gridSpan w:val="3"/>
            <w:noWrap w:val="0"/>
            <w:vAlign w:val="center"/>
          </w:tcPr>
          <w:p>
            <w:pPr>
              <w:widowControl/>
              <w:spacing w:line="360" w:lineRule="auto"/>
              <w:jc w:val="left"/>
              <w:rPr>
                <w:rFonts w:hint="eastAsia" w:ascii="宋体" w:hAnsi="宋体" w:cs="仿宋_GB2312"/>
                <w:kern w:val="0"/>
                <w:szCs w:val="21"/>
              </w:rPr>
            </w:pPr>
            <w:r>
              <w:rPr>
                <w:rFonts w:hint="eastAsia" w:ascii="宋体" w:hAnsi="宋体" w:cs="仿宋_GB2312"/>
                <w:kern w:val="0"/>
                <w:szCs w:val="21"/>
              </w:rPr>
              <w:t>实施方案：根据投标人提供的实施方案具体、可行、合理情况在1-1</w:t>
            </w:r>
            <w:r>
              <w:rPr>
                <w:rFonts w:hint="eastAsia" w:ascii="宋体" w:hAnsi="宋体" w:cs="仿宋_GB2312"/>
                <w:kern w:val="0"/>
                <w:szCs w:val="21"/>
                <w:lang w:val="en-US" w:eastAsia="zh-CN"/>
              </w:rPr>
              <w:t>5</w:t>
            </w:r>
            <w:r>
              <w:rPr>
                <w:rFonts w:hint="eastAsia" w:ascii="宋体" w:hAnsi="宋体" w:cs="仿宋_GB2312"/>
                <w:kern w:val="0"/>
                <w:szCs w:val="21"/>
              </w:rPr>
              <w:t xml:space="preserve">分间进行合理评分，缺项得0分。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dxa"/>
            <w:vMerge w:val="continue"/>
            <w:noWrap w:val="0"/>
            <w:vAlign w:val="top"/>
          </w:tcPr>
          <w:p>
            <w:pPr>
              <w:spacing w:line="360" w:lineRule="auto"/>
              <w:rPr>
                <w:rFonts w:hAnsi="宋体" w:cs="仿宋_GB2312"/>
                <w:color w:val="auto"/>
                <w:sz w:val="21"/>
                <w:szCs w:val="21"/>
              </w:rPr>
            </w:pPr>
          </w:p>
        </w:tc>
        <w:tc>
          <w:tcPr>
            <w:tcW w:w="813" w:type="dxa"/>
            <w:vMerge w:val="continue"/>
            <w:noWrap w:val="0"/>
            <w:vAlign w:val="center"/>
          </w:tcPr>
          <w:p>
            <w:pPr>
              <w:spacing w:line="360" w:lineRule="auto"/>
              <w:jc w:val="center"/>
              <w:rPr>
                <w:rFonts w:hAnsi="宋体" w:cs="仿宋_GB2312"/>
                <w:color w:val="auto"/>
                <w:sz w:val="21"/>
                <w:szCs w:val="21"/>
              </w:rPr>
            </w:pPr>
          </w:p>
        </w:tc>
        <w:tc>
          <w:tcPr>
            <w:tcW w:w="7550" w:type="dxa"/>
            <w:gridSpan w:val="3"/>
            <w:noWrap w:val="0"/>
            <w:vAlign w:val="center"/>
          </w:tcPr>
          <w:p>
            <w:pPr>
              <w:widowControl/>
              <w:spacing w:line="360" w:lineRule="auto"/>
              <w:jc w:val="left"/>
              <w:rPr>
                <w:rFonts w:hint="eastAsia" w:ascii="宋体" w:hAnsi="宋体" w:cs="仿宋_GB2312"/>
                <w:kern w:val="0"/>
                <w:szCs w:val="21"/>
              </w:rPr>
            </w:pPr>
            <w:r>
              <w:rPr>
                <w:rFonts w:hint="eastAsia" w:ascii="宋体" w:hAnsi="宋体" w:cs="仿宋_GB2312"/>
                <w:kern w:val="0"/>
                <w:szCs w:val="21"/>
              </w:rPr>
              <w:t>配送方案：根据投标人提供的方案具体、可行、合理情况在1-10分间进行合理评分，缺项得0分。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dxa"/>
            <w:vMerge w:val="continue"/>
            <w:noWrap w:val="0"/>
            <w:vAlign w:val="top"/>
          </w:tcPr>
          <w:p>
            <w:pPr>
              <w:spacing w:line="360" w:lineRule="auto"/>
              <w:rPr>
                <w:rFonts w:hAnsi="宋体" w:cs="仿宋_GB2312"/>
                <w:color w:val="auto"/>
                <w:sz w:val="21"/>
                <w:szCs w:val="21"/>
              </w:rPr>
            </w:pPr>
          </w:p>
        </w:tc>
        <w:tc>
          <w:tcPr>
            <w:tcW w:w="813" w:type="dxa"/>
            <w:vMerge w:val="continue"/>
            <w:noWrap w:val="0"/>
            <w:vAlign w:val="center"/>
          </w:tcPr>
          <w:p>
            <w:pPr>
              <w:spacing w:line="360" w:lineRule="auto"/>
              <w:jc w:val="center"/>
              <w:rPr>
                <w:rFonts w:hAnsi="宋体" w:cs="仿宋_GB2312"/>
                <w:color w:val="auto"/>
                <w:sz w:val="21"/>
                <w:szCs w:val="21"/>
              </w:rPr>
            </w:pPr>
          </w:p>
        </w:tc>
        <w:tc>
          <w:tcPr>
            <w:tcW w:w="7550" w:type="dxa"/>
            <w:gridSpan w:val="3"/>
            <w:noWrap w:val="0"/>
            <w:vAlign w:val="center"/>
          </w:tcPr>
          <w:p>
            <w:pPr>
              <w:widowControl/>
              <w:spacing w:line="360" w:lineRule="auto"/>
              <w:jc w:val="left"/>
              <w:rPr>
                <w:rFonts w:hint="eastAsia" w:ascii="宋体" w:hAnsi="宋体" w:cs="仿宋_GB2312"/>
                <w:kern w:val="0"/>
                <w:szCs w:val="21"/>
              </w:rPr>
            </w:pPr>
            <w:r>
              <w:rPr>
                <w:rFonts w:hint="eastAsia" w:ascii="宋体" w:hAnsi="宋体" w:cs="仿宋_GB2312"/>
                <w:kern w:val="0"/>
                <w:szCs w:val="21"/>
              </w:rPr>
              <w:t>验收方案：根据投标人提供的方案具体、可行、合理情况在1-10分间进行合理评分，缺项得0分。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dxa"/>
            <w:vMerge w:val="continue"/>
            <w:noWrap w:val="0"/>
            <w:vAlign w:val="top"/>
          </w:tcPr>
          <w:p>
            <w:pPr>
              <w:spacing w:line="360" w:lineRule="auto"/>
              <w:rPr>
                <w:rFonts w:hAnsi="宋体" w:cs="仿宋_GB2312"/>
                <w:color w:val="auto"/>
                <w:sz w:val="21"/>
                <w:szCs w:val="21"/>
              </w:rPr>
            </w:pPr>
          </w:p>
        </w:tc>
        <w:tc>
          <w:tcPr>
            <w:tcW w:w="813" w:type="dxa"/>
            <w:vMerge w:val="continue"/>
            <w:noWrap w:val="0"/>
            <w:vAlign w:val="center"/>
          </w:tcPr>
          <w:p>
            <w:pPr>
              <w:spacing w:line="360" w:lineRule="auto"/>
              <w:jc w:val="center"/>
              <w:rPr>
                <w:rFonts w:hAnsi="宋体" w:cs="仿宋_GB2312"/>
                <w:color w:val="auto"/>
                <w:sz w:val="21"/>
                <w:szCs w:val="21"/>
              </w:rPr>
            </w:pPr>
          </w:p>
        </w:tc>
        <w:tc>
          <w:tcPr>
            <w:tcW w:w="7550" w:type="dxa"/>
            <w:gridSpan w:val="3"/>
            <w:noWrap w:val="0"/>
            <w:vAlign w:val="center"/>
          </w:tcPr>
          <w:p>
            <w:pPr>
              <w:widowControl/>
              <w:spacing w:line="360" w:lineRule="auto"/>
              <w:jc w:val="left"/>
              <w:rPr>
                <w:rFonts w:hint="eastAsia" w:ascii="宋体" w:hAnsi="宋体" w:cs="仿宋_GB2312"/>
                <w:kern w:val="0"/>
                <w:szCs w:val="21"/>
              </w:rPr>
            </w:pPr>
            <w:r>
              <w:rPr>
                <w:rFonts w:hint="eastAsia" w:ascii="宋体" w:hAnsi="宋体" w:cs="仿宋_GB2312"/>
                <w:kern w:val="0"/>
                <w:szCs w:val="21"/>
              </w:rPr>
              <w:t>质量控制措施：根据投标人提供的质量控制措施、工艺流程说明的具体、可行、合理情况在1-10分间进行合理评分，缺项得0分。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dxa"/>
            <w:vMerge w:val="continue"/>
            <w:noWrap w:val="0"/>
            <w:vAlign w:val="top"/>
          </w:tcPr>
          <w:p>
            <w:pPr>
              <w:spacing w:line="360" w:lineRule="auto"/>
              <w:rPr>
                <w:rFonts w:hAnsi="宋体" w:cs="仿宋_GB2312"/>
                <w:color w:val="auto"/>
                <w:sz w:val="21"/>
                <w:szCs w:val="21"/>
              </w:rPr>
            </w:pPr>
          </w:p>
        </w:tc>
        <w:tc>
          <w:tcPr>
            <w:tcW w:w="813" w:type="dxa"/>
            <w:vMerge w:val="continue"/>
            <w:noWrap w:val="0"/>
            <w:vAlign w:val="center"/>
          </w:tcPr>
          <w:p>
            <w:pPr>
              <w:spacing w:line="360" w:lineRule="auto"/>
              <w:jc w:val="center"/>
              <w:rPr>
                <w:rFonts w:hAnsi="宋体" w:cs="仿宋_GB2312"/>
                <w:color w:val="auto"/>
                <w:sz w:val="21"/>
                <w:szCs w:val="21"/>
              </w:rPr>
            </w:pPr>
          </w:p>
        </w:tc>
        <w:tc>
          <w:tcPr>
            <w:tcW w:w="7550" w:type="dxa"/>
            <w:gridSpan w:val="3"/>
            <w:noWrap w:val="0"/>
            <w:vAlign w:val="center"/>
          </w:tcPr>
          <w:p>
            <w:pPr>
              <w:widowControl/>
              <w:spacing w:line="360" w:lineRule="auto"/>
              <w:jc w:val="left"/>
              <w:rPr>
                <w:rFonts w:hint="eastAsia" w:ascii="宋体" w:hAnsi="宋体" w:cs="仿宋_GB2312"/>
                <w:kern w:val="0"/>
                <w:szCs w:val="21"/>
              </w:rPr>
            </w:pPr>
            <w:r>
              <w:rPr>
                <w:rFonts w:hint="eastAsia" w:ascii="宋体" w:hAnsi="宋体" w:cs="仿宋_GB2312"/>
                <w:kern w:val="0"/>
                <w:szCs w:val="21"/>
              </w:rPr>
              <w:t>突发应急方案和其保障措施：根据投标人提供的突发应急方案和其保障措施的具体、可行、合理情况在1-</w:t>
            </w:r>
            <w:r>
              <w:rPr>
                <w:rFonts w:hint="eastAsia" w:ascii="宋体" w:hAnsi="宋体" w:cs="仿宋_GB2312"/>
                <w:kern w:val="0"/>
                <w:szCs w:val="21"/>
                <w:lang w:val="en-US" w:eastAsia="zh-CN"/>
              </w:rPr>
              <w:t>10</w:t>
            </w:r>
            <w:r>
              <w:rPr>
                <w:rFonts w:hint="eastAsia" w:ascii="宋体" w:hAnsi="宋体" w:cs="仿宋_GB2312"/>
                <w:kern w:val="0"/>
                <w:szCs w:val="21"/>
              </w:rPr>
              <w:t>分间进行合理评分，缺项得0分。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dxa"/>
            <w:vMerge w:val="continue"/>
            <w:noWrap w:val="0"/>
            <w:vAlign w:val="top"/>
          </w:tcPr>
          <w:p>
            <w:pPr>
              <w:spacing w:line="360" w:lineRule="auto"/>
              <w:rPr>
                <w:rFonts w:hAnsi="宋体" w:cs="仿宋_GB2312"/>
                <w:color w:val="auto"/>
                <w:sz w:val="21"/>
                <w:szCs w:val="21"/>
              </w:rPr>
            </w:pPr>
          </w:p>
        </w:tc>
        <w:tc>
          <w:tcPr>
            <w:tcW w:w="813" w:type="dxa"/>
            <w:vMerge w:val="continue"/>
            <w:noWrap w:val="0"/>
            <w:vAlign w:val="center"/>
          </w:tcPr>
          <w:p>
            <w:pPr>
              <w:spacing w:line="360" w:lineRule="auto"/>
              <w:jc w:val="center"/>
              <w:rPr>
                <w:rFonts w:hAnsi="宋体" w:cs="仿宋_GB2312"/>
                <w:color w:val="auto"/>
                <w:sz w:val="21"/>
                <w:szCs w:val="21"/>
              </w:rPr>
            </w:pPr>
          </w:p>
        </w:tc>
        <w:tc>
          <w:tcPr>
            <w:tcW w:w="7550" w:type="dxa"/>
            <w:gridSpan w:val="3"/>
            <w:noWrap w:val="0"/>
            <w:vAlign w:val="center"/>
          </w:tcPr>
          <w:p>
            <w:pPr>
              <w:widowControl/>
              <w:spacing w:line="360" w:lineRule="auto"/>
              <w:jc w:val="left"/>
              <w:rPr>
                <w:rFonts w:hint="eastAsia"/>
              </w:rPr>
            </w:pPr>
            <w:r>
              <w:rPr>
                <w:rFonts w:hint="eastAsia"/>
              </w:rPr>
              <w:t>备注：根据其先进、科学、合理及其可行性程度进行打分，不缺项时每项可在相应分值内酌情扣分，缺项时按0分计。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773" w:type="dxa"/>
            <w:vMerge w:val="restart"/>
            <w:noWrap w:val="0"/>
            <w:vAlign w:val="center"/>
          </w:tcPr>
          <w:p>
            <w:pPr>
              <w:spacing w:line="360" w:lineRule="auto"/>
              <w:jc w:val="both"/>
              <w:rPr>
                <w:rFonts w:hAnsi="宋体" w:cs="仿宋_GB2312"/>
                <w:color w:val="auto"/>
                <w:sz w:val="21"/>
                <w:szCs w:val="21"/>
              </w:rPr>
            </w:pPr>
          </w:p>
          <w:p>
            <w:pPr>
              <w:spacing w:line="360" w:lineRule="auto"/>
              <w:jc w:val="center"/>
              <w:rPr>
                <w:rFonts w:hint="eastAsia" w:hAnsi="宋体" w:eastAsia="宋体" w:cs="仿宋_GB2312"/>
                <w:color w:val="auto"/>
                <w:sz w:val="21"/>
                <w:szCs w:val="21"/>
                <w:lang w:val="en-US" w:eastAsia="zh-CN"/>
              </w:rPr>
            </w:pPr>
            <w:r>
              <w:rPr>
                <w:rFonts w:hAnsi="宋体" w:cs="仿宋_GB2312"/>
                <w:color w:val="auto"/>
                <w:sz w:val="21"/>
                <w:szCs w:val="21"/>
              </w:rPr>
              <w:t>2.2.</w:t>
            </w:r>
            <w:r>
              <w:rPr>
                <w:rFonts w:hint="eastAsia" w:hAnsi="宋体" w:cs="仿宋_GB2312"/>
                <w:color w:val="auto"/>
                <w:sz w:val="21"/>
                <w:szCs w:val="21"/>
                <w:lang w:val="en-US" w:eastAsia="zh-CN"/>
              </w:rPr>
              <w:t>4</w:t>
            </w:r>
          </w:p>
        </w:tc>
        <w:tc>
          <w:tcPr>
            <w:tcW w:w="813" w:type="dxa"/>
            <w:vMerge w:val="restart"/>
            <w:noWrap w:val="0"/>
            <w:vAlign w:val="center"/>
          </w:tcPr>
          <w:p>
            <w:pPr>
              <w:spacing w:line="360" w:lineRule="auto"/>
              <w:jc w:val="center"/>
              <w:rPr>
                <w:rFonts w:hAnsi="宋体" w:cs="仿宋_GB2312"/>
                <w:color w:val="auto"/>
                <w:sz w:val="21"/>
                <w:szCs w:val="21"/>
              </w:rPr>
            </w:pPr>
            <w:r>
              <w:rPr>
                <w:rFonts w:hint="eastAsia" w:hAnsi="宋体" w:cs="仿宋_GB2312"/>
                <w:color w:val="auto"/>
                <w:sz w:val="21"/>
                <w:szCs w:val="21"/>
              </w:rPr>
              <w:t>综合标评分标准</w:t>
            </w:r>
          </w:p>
          <w:p>
            <w:pPr>
              <w:spacing w:line="360" w:lineRule="auto"/>
              <w:jc w:val="center"/>
              <w:rPr>
                <w:rFonts w:hAnsi="宋体" w:cs="仿宋_GB2312"/>
                <w:color w:val="auto"/>
                <w:sz w:val="21"/>
                <w:szCs w:val="21"/>
              </w:rPr>
            </w:pPr>
            <w:r>
              <w:rPr>
                <w:rFonts w:hint="eastAsia" w:hAnsi="宋体" w:cs="仿宋_GB2312"/>
                <w:color w:val="auto"/>
                <w:sz w:val="21"/>
                <w:szCs w:val="21"/>
              </w:rPr>
              <w:t>（</w:t>
            </w:r>
            <w:r>
              <w:rPr>
                <w:rFonts w:hint="eastAsia" w:hAnsi="宋体" w:cs="仿宋_GB2312"/>
                <w:color w:val="auto"/>
                <w:sz w:val="21"/>
                <w:szCs w:val="21"/>
                <w:lang w:val="en-US" w:eastAsia="zh-CN"/>
              </w:rPr>
              <w:t>15</w:t>
            </w:r>
            <w:r>
              <w:rPr>
                <w:rFonts w:hint="eastAsia" w:hAnsi="宋体" w:cs="仿宋_GB2312"/>
                <w:color w:val="auto"/>
                <w:sz w:val="21"/>
                <w:szCs w:val="21"/>
              </w:rPr>
              <w:t>分）</w:t>
            </w:r>
          </w:p>
        </w:tc>
        <w:tc>
          <w:tcPr>
            <w:tcW w:w="1512" w:type="dxa"/>
            <w:noWrap w:val="0"/>
            <w:vAlign w:val="center"/>
          </w:tcPr>
          <w:p>
            <w:pPr>
              <w:autoSpaceDE w:val="0"/>
              <w:autoSpaceDN w:val="0"/>
              <w:adjustRightInd w:val="0"/>
              <w:spacing w:line="360" w:lineRule="auto"/>
              <w:jc w:val="left"/>
              <w:rPr>
                <w:rFonts w:hint="eastAsia"/>
                <w:szCs w:val="21"/>
                <w:lang w:bidi="zh-CN"/>
              </w:rPr>
            </w:pPr>
            <w:r>
              <w:rPr>
                <w:rFonts w:hint="eastAsia"/>
                <w:szCs w:val="21"/>
                <w:lang w:bidi="zh-CN"/>
              </w:rPr>
              <w:t>履职尽责承诺</w:t>
            </w:r>
          </w:p>
          <w:p>
            <w:pPr>
              <w:autoSpaceDE w:val="0"/>
              <w:autoSpaceDN w:val="0"/>
              <w:adjustRightInd w:val="0"/>
              <w:spacing w:line="360" w:lineRule="auto"/>
              <w:jc w:val="left"/>
              <w:rPr>
                <w:rFonts w:hint="eastAsia" w:ascii="Times New Roman" w:hAnsi="Times New Roman" w:eastAsia="宋体" w:cs="Times New Roman"/>
                <w:b/>
                <w:kern w:val="2"/>
                <w:sz w:val="21"/>
                <w:szCs w:val="21"/>
                <w:lang w:val="en-US" w:eastAsia="zh-CN" w:bidi="ar-SA"/>
              </w:rPr>
            </w:pPr>
            <w:r>
              <w:rPr>
                <w:rFonts w:hint="eastAsia"/>
                <w:szCs w:val="21"/>
                <w:lang w:bidi="zh-CN"/>
              </w:rPr>
              <w:t>（</w:t>
            </w:r>
            <w:r>
              <w:rPr>
                <w:rFonts w:hint="eastAsia"/>
                <w:szCs w:val="21"/>
                <w:lang w:val="en-US" w:eastAsia="zh-CN" w:bidi="zh-CN"/>
              </w:rPr>
              <w:t>7</w:t>
            </w:r>
            <w:r>
              <w:rPr>
                <w:rFonts w:hint="eastAsia"/>
                <w:szCs w:val="21"/>
                <w:lang w:bidi="zh-CN"/>
              </w:rPr>
              <w:t>分</w:t>
            </w:r>
            <w:r>
              <w:rPr>
                <w:rFonts w:hint="eastAsia"/>
                <w:szCs w:val="21"/>
                <w:lang w:eastAsia="zh-CN" w:bidi="zh-CN"/>
              </w:rPr>
              <w:t>）</w:t>
            </w:r>
          </w:p>
        </w:tc>
        <w:tc>
          <w:tcPr>
            <w:tcW w:w="6038" w:type="dxa"/>
            <w:gridSpan w:val="2"/>
            <w:noWrap w:val="0"/>
            <w:vAlign w:val="center"/>
          </w:tcPr>
          <w:p>
            <w:pPr>
              <w:jc w:val="left"/>
              <w:rPr>
                <w:rFonts w:hint="eastAsia" w:ascii="宋体" w:hAnsi="宋体" w:eastAsia="宋体" w:cs="宋体"/>
                <w:kern w:val="2"/>
                <w:sz w:val="21"/>
                <w:szCs w:val="21"/>
                <w:lang w:val="en-US" w:eastAsia="zh-CN" w:bidi="ar-SA"/>
              </w:rPr>
            </w:pPr>
            <w:r>
              <w:rPr>
                <w:rFonts w:hint="eastAsia"/>
                <w:szCs w:val="21"/>
                <w:lang w:bidi="zh-CN"/>
              </w:rPr>
              <w:t>根据投标人提供的书面保证技术措施落实到位的承诺和落实不到位的处理承诺，其中包括各关键岗位人员的在岗、更换等履职尽责承诺，提供承包商履约保证</w:t>
            </w:r>
            <w:r>
              <w:rPr>
                <w:rFonts w:hint="eastAsia"/>
                <w:szCs w:val="21"/>
                <w:lang w:val="en-US" w:eastAsia="zh-CN" w:bidi="zh-CN"/>
              </w:rPr>
              <w:t>内容</w:t>
            </w:r>
            <w:r>
              <w:rPr>
                <w:rFonts w:hint="eastAsia"/>
                <w:szCs w:val="21"/>
                <w:lang w:bidi="zh-CN"/>
              </w:rPr>
              <w:t xml:space="preserve">，由评标委员会综合考虑承诺内容的合理性、可行性等在 </w:t>
            </w:r>
            <w:r>
              <w:rPr>
                <w:rFonts w:hint="eastAsia"/>
                <w:szCs w:val="21"/>
                <w:lang w:val="en-US" w:bidi="zh-CN"/>
              </w:rPr>
              <w:t>0</w:t>
            </w:r>
            <w:r>
              <w:rPr>
                <w:rFonts w:hint="eastAsia"/>
                <w:szCs w:val="21"/>
                <w:lang w:bidi="zh-CN"/>
              </w:rPr>
              <w:t>-</w:t>
            </w:r>
            <w:r>
              <w:rPr>
                <w:rFonts w:hint="eastAsia"/>
                <w:szCs w:val="21"/>
                <w:lang w:val="en-US" w:bidi="zh-CN"/>
              </w:rPr>
              <w:t>7</w:t>
            </w:r>
            <w:r>
              <w:rPr>
                <w:rFonts w:hint="eastAsia"/>
                <w:szCs w:val="21"/>
                <w:lang w:bidi="zh-CN"/>
              </w:rPr>
              <w:t>分之间进行酌情打分，不承诺按0分计。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73" w:type="dxa"/>
            <w:vMerge w:val="continue"/>
            <w:noWrap w:val="0"/>
            <w:vAlign w:val="center"/>
          </w:tcPr>
          <w:p>
            <w:pPr>
              <w:spacing w:line="360" w:lineRule="auto"/>
              <w:jc w:val="center"/>
              <w:rPr>
                <w:rFonts w:hAnsi="宋体" w:cs="仿宋_GB2312"/>
                <w:color w:val="auto"/>
                <w:sz w:val="21"/>
                <w:szCs w:val="21"/>
              </w:rPr>
            </w:pPr>
          </w:p>
        </w:tc>
        <w:tc>
          <w:tcPr>
            <w:tcW w:w="813" w:type="dxa"/>
            <w:vMerge w:val="continue"/>
            <w:noWrap w:val="0"/>
            <w:vAlign w:val="center"/>
          </w:tcPr>
          <w:p>
            <w:pPr>
              <w:spacing w:line="360" w:lineRule="auto"/>
              <w:jc w:val="center"/>
              <w:rPr>
                <w:rFonts w:hint="eastAsia" w:hAnsi="宋体" w:cs="仿宋_GB2312"/>
                <w:color w:val="auto"/>
                <w:sz w:val="21"/>
                <w:szCs w:val="21"/>
              </w:rPr>
            </w:pPr>
          </w:p>
        </w:tc>
        <w:tc>
          <w:tcPr>
            <w:tcW w:w="1512" w:type="dxa"/>
            <w:noWrap w:val="0"/>
            <w:vAlign w:val="center"/>
          </w:tcPr>
          <w:p>
            <w:pPr>
              <w:autoSpaceDE w:val="0"/>
              <w:autoSpaceDN w:val="0"/>
              <w:adjustRightInd w:val="0"/>
              <w:spacing w:line="360" w:lineRule="auto"/>
              <w:jc w:val="center"/>
              <w:rPr>
                <w:rFonts w:hint="eastAsia" w:ascii="宋体" w:hAnsi="宋体" w:cs="宋体"/>
                <w:spacing w:val="1"/>
                <w:szCs w:val="21"/>
              </w:rPr>
            </w:pPr>
            <w:r>
              <w:rPr>
                <w:rFonts w:hint="eastAsia" w:ascii="宋体" w:hAnsi="宋体" w:cs="宋体"/>
                <w:spacing w:val="1"/>
                <w:szCs w:val="21"/>
              </w:rPr>
              <w:t>服务承诺</w:t>
            </w:r>
          </w:p>
          <w:p>
            <w:pPr>
              <w:autoSpaceDE w:val="0"/>
              <w:autoSpaceDN w:val="0"/>
              <w:adjustRightInd w:val="0"/>
              <w:spacing w:line="360" w:lineRule="auto"/>
              <w:jc w:val="center"/>
              <w:rPr>
                <w:rFonts w:hint="eastAsia" w:ascii="宋体" w:hAnsi="宋体" w:eastAsia="宋体" w:cs="宋体"/>
                <w:spacing w:val="1"/>
                <w:kern w:val="2"/>
                <w:sz w:val="21"/>
                <w:szCs w:val="21"/>
                <w:lang w:val="en-US" w:eastAsia="zh-CN" w:bidi="ar-SA"/>
              </w:rPr>
            </w:pPr>
            <w:r>
              <w:rPr>
                <w:rFonts w:hint="eastAsia" w:ascii="宋体" w:hAnsi="宋体" w:cs="宋体"/>
                <w:spacing w:val="1"/>
                <w:szCs w:val="21"/>
              </w:rPr>
              <w:t>（</w:t>
            </w:r>
            <w:r>
              <w:rPr>
                <w:rFonts w:hint="eastAsia" w:ascii="宋体" w:hAnsi="宋体" w:cs="宋体"/>
                <w:spacing w:val="1"/>
                <w:szCs w:val="21"/>
                <w:lang w:val="en-US" w:eastAsia="zh-CN"/>
              </w:rPr>
              <w:t>8</w:t>
            </w:r>
            <w:r>
              <w:rPr>
                <w:rFonts w:hint="eastAsia" w:ascii="宋体" w:hAnsi="宋体" w:cs="宋体"/>
                <w:spacing w:val="1"/>
                <w:szCs w:val="21"/>
              </w:rPr>
              <w:t>分）</w:t>
            </w:r>
          </w:p>
        </w:tc>
        <w:tc>
          <w:tcPr>
            <w:tcW w:w="6038" w:type="dxa"/>
            <w:gridSpan w:val="2"/>
            <w:noWrap w:val="0"/>
            <w:vAlign w:val="center"/>
          </w:tcPr>
          <w:p>
            <w:pPr>
              <w:autoSpaceDE w:val="0"/>
              <w:autoSpaceDN w:val="0"/>
              <w:adjustRightInd w:val="0"/>
              <w:spacing w:line="360" w:lineRule="auto"/>
              <w:jc w:val="left"/>
              <w:rPr>
                <w:rFonts w:hint="eastAsia" w:ascii="宋体" w:hAnsi="宋体" w:eastAsia="宋体" w:cs="宋体"/>
                <w:b/>
                <w:bCs/>
                <w:kern w:val="2"/>
                <w:sz w:val="21"/>
                <w:szCs w:val="21"/>
                <w:lang w:val="en-US" w:eastAsia="zh-CN" w:bidi="zh-CN"/>
              </w:rPr>
            </w:pPr>
            <w:r>
              <w:rPr>
                <w:rFonts w:hint="eastAsia"/>
                <w:szCs w:val="21"/>
                <w:lang w:bidi="zh-CN"/>
              </w:rPr>
              <w:t>根据投标人承诺的售前、售中、售后服务承诺、其他承诺内容，由评标委员会综合考虑承诺内容的合理性、可行性等在</w:t>
            </w:r>
            <w:r>
              <w:rPr>
                <w:rFonts w:hint="eastAsia"/>
                <w:szCs w:val="21"/>
                <w:lang w:val="en-US" w:bidi="zh-CN"/>
              </w:rPr>
              <w:t>0</w:t>
            </w:r>
            <w:r>
              <w:rPr>
                <w:rFonts w:hint="eastAsia"/>
                <w:szCs w:val="21"/>
                <w:lang w:bidi="zh-CN"/>
              </w:rPr>
              <w:t>-</w:t>
            </w:r>
            <w:r>
              <w:rPr>
                <w:rFonts w:hint="eastAsia"/>
                <w:szCs w:val="21"/>
                <w:lang w:val="en-US" w:bidi="zh-CN"/>
              </w:rPr>
              <w:t>8</w:t>
            </w:r>
            <w:r>
              <w:rPr>
                <w:rFonts w:hint="eastAsia"/>
                <w:szCs w:val="21"/>
                <w:lang w:bidi="zh-CN"/>
              </w:rPr>
              <w:t>分之间进行酌情打分，不承诺按0分计。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136" w:type="dxa"/>
            <w:gridSpan w:val="5"/>
            <w:noWrap w:val="0"/>
            <w:vAlign w:val="center"/>
          </w:tcPr>
          <w:p>
            <w:pPr>
              <w:spacing w:line="360" w:lineRule="auto"/>
              <w:rPr>
                <w:rFonts w:ascii="宋体" w:hAnsi="宋体"/>
                <w:szCs w:val="21"/>
              </w:rPr>
            </w:pPr>
            <w:r>
              <w:rPr>
                <w:rFonts w:hint="eastAsia" w:ascii="宋体" w:hAnsi="宋体"/>
                <w:szCs w:val="21"/>
              </w:rPr>
              <w:t>投标人的最终得分：</w:t>
            </w:r>
          </w:p>
          <w:p>
            <w:pPr>
              <w:spacing w:line="360" w:lineRule="auto"/>
              <w:rPr>
                <w:rFonts w:ascii="宋体" w:hAnsi="宋体"/>
                <w:szCs w:val="21"/>
              </w:rPr>
            </w:pPr>
            <w:r>
              <w:rPr>
                <w:rFonts w:ascii="宋体" w:hAnsi="宋体"/>
                <w:szCs w:val="21"/>
              </w:rPr>
              <w:t>1</w:t>
            </w:r>
            <w:r>
              <w:rPr>
                <w:rFonts w:hint="eastAsia" w:ascii="宋体" w:hAnsi="宋体"/>
                <w:szCs w:val="21"/>
              </w:rPr>
              <w:t>、以上评审项，如有缺项该项不得分。</w:t>
            </w:r>
            <w:r>
              <w:rPr>
                <w:rFonts w:hint="eastAsia" w:ascii="宋体" w:hAnsi="宋体"/>
                <w:szCs w:val="21"/>
              </w:rPr>
              <w:br w:type="textWrapping"/>
            </w:r>
            <w:r>
              <w:rPr>
                <w:rFonts w:hint="eastAsia" w:ascii="宋体" w:hAnsi="宋体"/>
                <w:szCs w:val="21"/>
              </w:rPr>
              <w:t>2、所有评委计分结果的算术平均值，作为该投标人的最终得分。</w:t>
            </w:r>
          </w:p>
          <w:p>
            <w:pPr>
              <w:spacing w:line="360" w:lineRule="auto"/>
              <w:jc w:val="left"/>
              <w:rPr>
                <w:rFonts w:hint="eastAsia"/>
                <w:szCs w:val="21"/>
              </w:rPr>
            </w:pPr>
            <w:r>
              <w:rPr>
                <w:rFonts w:hint="eastAsia" w:ascii="宋体" w:hAnsi="宋体"/>
                <w:szCs w:val="21"/>
              </w:rPr>
              <w:t>3、本办法计算结果按四舍五入保留两位小数。</w:t>
            </w:r>
          </w:p>
        </w:tc>
      </w:tr>
    </w:tbl>
    <w:p/>
    <w:bookmarkEnd w:id="261"/>
    <w:bookmarkEnd w:id="262"/>
    <w:bookmarkEnd w:id="263"/>
    <w:bookmarkEnd w:id="264"/>
    <w:bookmarkEnd w:id="265"/>
    <w:p>
      <w:pPr>
        <w:bidi w:val="0"/>
        <w:rPr>
          <w:rFonts w:hint="eastAsia"/>
        </w:rPr>
      </w:pPr>
    </w:p>
    <w:p>
      <w:pPr>
        <w:bidi w:val="0"/>
        <w:rPr>
          <w:rFonts w:hint="eastAsia"/>
        </w:rPr>
      </w:pPr>
    </w:p>
    <w:p>
      <w:pPr>
        <w:bidi w:val="0"/>
        <w:rPr>
          <w:rFonts w:hint="eastAsia"/>
        </w:rPr>
      </w:pPr>
    </w:p>
    <w:p>
      <w:pPr>
        <w:spacing w:line="360" w:lineRule="auto"/>
        <w:ind w:firstLine="422" w:firstLineChars="200"/>
        <w:outlineLvl w:val="1"/>
        <w:rPr>
          <w:rFonts w:ascii="宋体" w:hAnsi="宋体" w:cs="宋体"/>
          <w:b/>
          <w:sz w:val="21"/>
          <w:szCs w:val="18"/>
        </w:rPr>
      </w:pPr>
      <w:bookmarkStart w:id="266" w:name="_Toc179632618"/>
      <w:bookmarkStart w:id="267" w:name="_Toc20077"/>
      <w:bookmarkStart w:id="268" w:name="_Toc358873695"/>
      <w:r>
        <w:rPr>
          <w:rFonts w:hint="eastAsia" w:ascii="宋体" w:hAnsi="宋体" w:cs="宋体"/>
          <w:b/>
          <w:sz w:val="21"/>
          <w:szCs w:val="18"/>
        </w:rPr>
        <w:t>1. 评标方法</w:t>
      </w:r>
      <w:bookmarkEnd w:id="266"/>
      <w:bookmarkEnd w:id="267"/>
      <w:bookmarkEnd w:id="268"/>
    </w:p>
    <w:p>
      <w:pPr>
        <w:spacing w:line="360" w:lineRule="auto"/>
        <w:ind w:firstLine="420" w:firstLineChars="200"/>
        <w:rPr>
          <w:rFonts w:ascii="宋体" w:hAnsi="宋体" w:cs="宋体"/>
          <w:sz w:val="21"/>
          <w:szCs w:val="18"/>
        </w:rPr>
      </w:pPr>
      <w:r>
        <w:rPr>
          <w:rFonts w:hint="eastAsia" w:ascii="宋体" w:hAnsi="宋体" w:cs="宋体"/>
          <w:sz w:val="21"/>
          <w:szCs w:val="18"/>
        </w:rPr>
        <w:t>本次评标采用综合评估法。磋商小组对满足磋商文件实质性要求的响应文件，按照本章第2.2.2、2.2.3、2.2.4款规定的评分标准进行打分，并按得分由高到低顺序推荐中标候选人，或根据采购人授权直接确定中标人，但投标总报价低于其成本的除外。综合评分相等时，以投标总报价低的优先；投标报价也相等的，由采购人自行确定。</w:t>
      </w:r>
    </w:p>
    <w:p>
      <w:pPr>
        <w:spacing w:line="360" w:lineRule="auto"/>
        <w:ind w:firstLine="422" w:firstLineChars="200"/>
        <w:outlineLvl w:val="1"/>
        <w:rPr>
          <w:rFonts w:ascii="宋体" w:hAnsi="宋体" w:cs="宋体"/>
          <w:b/>
          <w:sz w:val="21"/>
          <w:szCs w:val="18"/>
        </w:rPr>
      </w:pPr>
      <w:bookmarkStart w:id="269" w:name="_Toc358873696"/>
      <w:bookmarkStart w:id="270" w:name="_Toc16687"/>
      <w:bookmarkStart w:id="271" w:name="_Toc179632619"/>
      <w:r>
        <w:rPr>
          <w:rFonts w:hint="eastAsia" w:ascii="宋体" w:hAnsi="宋体" w:cs="宋体"/>
          <w:b/>
          <w:sz w:val="21"/>
          <w:szCs w:val="18"/>
        </w:rPr>
        <w:t>2. 评审标准</w:t>
      </w:r>
      <w:bookmarkEnd w:id="269"/>
      <w:bookmarkEnd w:id="270"/>
      <w:bookmarkEnd w:id="271"/>
    </w:p>
    <w:p>
      <w:pPr>
        <w:spacing w:line="360" w:lineRule="auto"/>
        <w:ind w:firstLine="422" w:firstLineChars="200"/>
        <w:outlineLvl w:val="2"/>
        <w:rPr>
          <w:rFonts w:ascii="宋体" w:hAnsi="宋体" w:cs="宋体"/>
          <w:b/>
          <w:sz w:val="21"/>
          <w:szCs w:val="18"/>
        </w:rPr>
      </w:pPr>
      <w:bookmarkStart w:id="272" w:name="_Toc358873697"/>
      <w:bookmarkStart w:id="273" w:name="_Toc179632620"/>
      <w:r>
        <w:rPr>
          <w:rFonts w:hint="eastAsia" w:ascii="宋体" w:hAnsi="宋体" w:cs="宋体"/>
          <w:b/>
          <w:sz w:val="21"/>
          <w:szCs w:val="18"/>
        </w:rPr>
        <w:t>2.1 初步评审标准</w:t>
      </w:r>
      <w:bookmarkEnd w:id="272"/>
      <w:bookmarkEnd w:id="273"/>
    </w:p>
    <w:p>
      <w:pPr>
        <w:spacing w:line="360" w:lineRule="auto"/>
        <w:ind w:firstLine="420" w:firstLineChars="200"/>
        <w:rPr>
          <w:rFonts w:ascii="宋体" w:hAnsi="宋体" w:cs="宋体"/>
          <w:sz w:val="21"/>
          <w:szCs w:val="18"/>
        </w:rPr>
      </w:pPr>
      <w:r>
        <w:rPr>
          <w:rFonts w:hint="eastAsia" w:ascii="宋体" w:hAnsi="宋体" w:cs="宋体"/>
          <w:sz w:val="21"/>
          <w:szCs w:val="18"/>
        </w:rPr>
        <w:t>2.1.1 形式评审标准：见评标办法前附表。</w:t>
      </w:r>
    </w:p>
    <w:p>
      <w:pPr>
        <w:spacing w:line="360" w:lineRule="auto"/>
        <w:ind w:firstLine="420" w:firstLineChars="200"/>
        <w:rPr>
          <w:rFonts w:ascii="宋体" w:hAnsi="宋体" w:cs="宋体"/>
          <w:sz w:val="21"/>
          <w:szCs w:val="18"/>
        </w:rPr>
      </w:pPr>
      <w:r>
        <w:rPr>
          <w:rFonts w:hint="eastAsia" w:ascii="宋体" w:hAnsi="宋体" w:cs="宋体"/>
          <w:sz w:val="21"/>
          <w:szCs w:val="18"/>
        </w:rPr>
        <w:t>2.1.2 资格评审标准：见评标办法前附表。</w:t>
      </w:r>
    </w:p>
    <w:p>
      <w:pPr>
        <w:spacing w:line="360" w:lineRule="auto"/>
        <w:ind w:firstLine="420" w:firstLineChars="200"/>
        <w:rPr>
          <w:rFonts w:ascii="宋体" w:hAnsi="宋体" w:cs="宋体"/>
          <w:sz w:val="21"/>
          <w:szCs w:val="18"/>
        </w:rPr>
      </w:pPr>
      <w:r>
        <w:rPr>
          <w:rFonts w:hint="eastAsia" w:ascii="宋体" w:hAnsi="宋体" w:cs="宋体"/>
          <w:sz w:val="21"/>
          <w:szCs w:val="18"/>
        </w:rPr>
        <w:t>2.1.3响应性评审标准：见评标办法前附表。</w:t>
      </w:r>
    </w:p>
    <w:p>
      <w:pPr>
        <w:spacing w:line="360" w:lineRule="auto"/>
        <w:ind w:firstLine="422" w:firstLineChars="200"/>
        <w:outlineLvl w:val="2"/>
        <w:rPr>
          <w:rFonts w:ascii="宋体" w:hAnsi="宋体" w:cs="宋体"/>
          <w:b/>
          <w:sz w:val="21"/>
          <w:szCs w:val="18"/>
        </w:rPr>
      </w:pPr>
      <w:bookmarkStart w:id="274" w:name="_Toc179632621"/>
      <w:bookmarkStart w:id="275" w:name="_Toc358873698"/>
      <w:r>
        <w:rPr>
          <w:rFonts w:hint="eastAsia" w:ascii="宋体" w:hAnsi="宋体" w:cs="宋体"/>
          <w:b/>
          <w:sz w:val="21"/>
          <w:szCs w:val="18"/>
        </w:rPr>
        <w:t>2.2 分值构成与评分标准</w:t>
      </w:r>
      <w:bookmarkEnd w:id="274"/>
      <w:bookmarkEnd w:id="275"/>
    </w:p>
    <w:p>
      <w:pPr>
        <w:spacing w:line="360" w:lineRule="auto"/>
        <w:ind w:firstLine="420" w:firstLineChars="200"/>
        <w:rPr>
          <w:rFonts w:ascii="宋体" w:hAnsi="宋体" w:cs="宋体"/>
          <w:sz w:val="21"/>
          <w:szCs w:val="18"/>
        </w:rPr>
      </w:pPr>
      <w:r>
        <w:rPr>
          <w:rFonts w:hint="eastAsia" w:ascii="宋体" w:hAnsi="宋体" w:cs="宋体"/>
          <w:sz w:val="21"/>
          <w:szCs w:val="18"/>
        </w:rPr>
        <w:t>2.2.1 分值构成</w:t>
      </w:r>
    </w:p>
    <w:p>
      <w:pPr>
        <w:spacing w:line="360" w:lineRule="auto"/>
        <w:ind w:firstLine="420" w:firstLineChars="200"/>
        <w:rPr>
          <w:rFonts w:ascii="宋体" w:hAnsi="宋体" w:cs="宋体"/>
          <w:sz w:val="21"/>
          <w:szCs w:val="18"/>
        </w:rPr>
      </w:pPr>
      <w:r>
        <w:rPr>
          <w:rFonts w:hint="eastAsia" w:ascii="宋体" w:hAnsi="宋体" w:cs="宋体"/>
          <w:sz w:val="21"/>
          <w:szCs w:val="18"/>
        </w:rPr>
        <w:t>（1）技术标：见评标办法前附表；</w:t>
      </w:r>
    </w:p>
    <w:p>
      <w:pPr>
        <w:spacing w:line="360" w:lineRule="auto"/>
        <w:ind w:firstLine="420" w:firstLineChars="200"/>
        <w:rPr>
          <w:rFonts w:ascii="宋体" w:hAnsi="宋体" w:cs="宋体"/>
          <w:sz w:val="21"/>
          <w:szCs w:val="18"/>
        </w:rPr>
      </w:pPr>
      <w:r>
        <w:rPr>
          <w:rFonts w:hint="eastAsia" w:ascii="宋体" w:hAnsi="宋体" w:cs="宋体"/>
          <w:sz w:val="21"/>
          <w:szCs w:val="18"/>
        </w:rPr>
        <w:t>（2）综合标：见评标办法前附表；</w:t>
      </w:r>
    </w:p>
    <w:p>
      <w:pPr>
        <w:spacing w:line="360" w:lineRule="auto"/>
        <w:ind w:firstLine="420" w:firstLineChars="200"/>
        <w:rPr>
          <w:rFonts w:ascii="宋体" w:hAnsi="宋体" w:cs="宋体"/>
          <w:sz w:val="21"/>
          <w:szCs w:val="18"/>
        </w:rPr>
      </w:pPr>
      <w:r>
        <w:rPr>
          <w:rFonts w:hint="eastAsia" w:ascii="宋体" w:hAnsi="宋体" w:cs="宋体"/>
          <w:sz w:val="21"/>
          <w:szCs w:val="18"/>
        </w:rPr>
        <w:t>（3）商务标：见评标办法前附表；</w:t>
      </w:r>
    </w:p>
    <w:p>
      <w:pPr>
        <w:spacing w:line="360" w:lineRule="auto"/>
        <w:ind w:firstLine="420" w:firstLineChars="200"/>
        <w:rPr>
          <w:rFonts w:ascii="宋体" w:hAnsi="宋体" w:cs="宋体"/>
          <w:sz w:val="21"/>
          <w:szCs w:val="18"/>
        </w:rPr>
      </w:pPr>
      <w:r>
        <w:rPr>
          <w:rFonts w:hint="eastAsia" w:ascii="宋体" w:hAnsi="宋体" w:cs="宋体"/>
          <w:sz w:val="21"/>
          <w:szCs w:val="18"/>
        </w:rPr>
        <w:t>2.2.2 评标基准价计算</w:t>
      </w:r>
    </w:p>
    <w:p>
      <w:pPr>
        <w:spacing w:line="360" w:lineRule="auto"/>
        <w:ind w:firstLine="420" w:firstLineChars="200"/>
        <w:rPr>
          <w:rFonts w:ascii="宋体" w:hAnsi="宋体" w:cs="宋体"/>
          <w:sz w:val="21"/>
          <w:szCs w:val="18"/>
        </w:rPr>
      </w:pPr>
      <w:r>
        <w:rPr>
          <w:rFonts w:hint="eastAsia" w:ascii="宋体" w:hAnsi="宋体" w:cs="宋体"/>
          <w:sz w:val="21"/>
          <w:szCs w:val="18"/>
        </w:rPr>
        <w:t>评标基准价计算方法：见评标办法前附表。</w:t>
      </w:r>
    </w:p>
    <w:p>
      <w:pPr>
        <w:spacing w:line="360" w:lineRule="auto"/>
        <w:ind w:firstLine="420" w:firstLineChars="200"/>
        <w:rPr>
          <w:rFonts w:ascii="宋体" w:hAnsi="宋体" w:cs="宋体"/>
          <w:sz w:val="21"/>
          <w:szCs w:val="18"/>
        </w:rPr>
      </w:pPr>
      <w:r>
        <w:rPr>
          <w:rFonts w:hint="eastAsia" w:ascii="宋体" w:hAnsi="宋体" w:cs="宋体"/>
          <w:sz w:val="21"/>
          <w:szCs w:val="18"/>
        </w:rPr>
        <w:t>2.2.3 评分标准</w:t>
      </w:r>
    </w:p>
    <w:p>
      <w:pPr>
        <w:spacing w:line="360" w:lineRule="auto"/>
        <w:ind w:firstLine="420" w:firstLineChars="200"/>
        <w:rPr>
          <w:rFonts w:ascii="宋体" w:hAnsi="宋体" w:cs="宋体"/>
          <w:sz w:val="21"/>
          <w:szCs w:val="18"/>
        </w:rPr>
      </w:pPr>
      <w:r>
        <w:rPr>
          <w:rFonts w:hint="eastAsia" w:ascii="宋体" w:hAnsi="宋体" w:cs="宋体"/>
          <w:sz w:val="21"/>
          <w:szCs w:val="18"/>
        </w:rPr>
        <w:t>（1）技术标评分标准：见评标办法前附表；</w:t>
      </w:r>
    </w:p>
    <w:p>
      <w:pPr>
        <w:spacing w:line="360" w:lineRule="auto"/>
        <w:ind w:firstLine="420" w:firstLineChars="200"/>
        <w:rPr>
          <w:rFonts w:ascii="宋体" w:hAnsi="宋体" w:cs="宋体"/>
          <w:sz w:val="21"/>
          <w:szCs w:val="18"/>
        </w:rPr>
      </w:pPr>
      <w:r>
        <w:rPr>
          <w:rFonts w:hint="eastAsia" w:ascii="宋体" w:hAnsi="宋体" w:cs="宋体"/>
          <w:sz w:val="21"/>
          <w:szCs w:val="18"/>
        </w:rPr>
        <w:t>（2）综合标评分标准：见评标办法前附表；</w:t>
      </w:r>
    </w:p>
    <w:p>
      <w:pPr>
        <w:spacing w:line="360" w:lineRule="auto"/>
        <w:ind w:firstLine="420" w:firstLineChars="200"/>
        <w:rPr>
          <w:rFonts w:ascii="宋体" w:hAnsi="宋体" w:cs="宋体"/>
          <w:sz w:val="21"/>
          <w:szCs w:val="18"/>
        </w:rPr>
      </w:pPr>
      <w:r>
        <w:rPr>
          <w:rFonts w:hint="eastAsia" w:ascii="宋体" w:hAnsi="宋体" w:cs="宋体"/>
          <w:sz w:val="21"/>
          <w:szCs w:val="18"/>
        </w:rPr>
        <w:t>（3）商务标评分标准：见评标办法前附表；</w:t>
      </w:r>
    </w:p>
    <w:p>
      <w:pPr>
        <w:spacing w:line="360" w:lineRule="auto"/>
        <w:ind w:left="420" w:firstLine="2"/>
        <w:outlineLvl w:val="1"/>
        <w:rPr>
          <w:rFonts w:ascii="宋体" w:hAnsi="宋体" w:cs="宋体"/>
          <w:b/>
          <w:sz w:val="21"/>
          <w:szCs w:val="18"/>
        </w:rPr>
      </w:pPr>
      <w:bookmarkStart w:id="276" w:name="_Toc1685"/>
      <w:bookmarkStart w:id="277" w:name="_Toc358873699"/>
      <w:bookmarkStart w:id="278" w:name="_Toc179632622"/>
      <w:r>
        <w:rPr>
          <w:rFonts w:hint="eastAsia" w:ascii="宋体" w:hAnsi="宋体" w:cs="宋体"/>
          <w:b/>
          <w:sz w:val="21"/>
          <w:szCs w:val="18"/>
        </w:rPr>
        <w:t>3. 评标程序</w:t>
      </w:r>
      <w:bookmarkEnd w:id="276"/>
      <w:bookmarkEnd w:id="277"/>
      <w:bookmarkEnd w:id="278"/>
    </w:p>
    <w:p>
      <w:pPr>
        <w:spacing w:line="360" w:lineRule="auto"/>
        <w:ind w:firstLine="422" w:firstLineChars="200"/>
        <w:outlineLvl w:val="2"/>
        <w:rPr>
          <w:rFonts w:ascii="宋体" w:hAnsi="宋体" w:cs="宋体"/>
          <w:b/>
          <w:sz w:val="21"/>
          <w:szCs w:val="18"/>
        </w:rPr>
      </w:pPr>
      <w:bookmarkStart w:id="279" w:name="_Toc179632623"/>
      <w:bookmarkStart w:id="280" w:name="_Toc358873700"/>
      <w:r>
        <w:rPr>
          <w:rFonts w:hint="eastAsia" w:ascii="宋体" w:hAnsi="宋体" w:cs="宋体"/>
          <w:b/>
          <w:sz w:val="21"/>
          <w:szCs w:val="18"/>
        </w:rPr>
        <w:t>3.1 初步评审</w:t>
      </w:r>
      <w:bookmarkEnd w:id="279"/>
      <w:bookmarkEnd w:id="280"/>
    </w:p>
    <w:p>
      <w:pPr>
        <w:spacing w:line="360" w:lineRule="auto"/>
        <w:ind w:firstLine="420" w:firstLineChars="200"/>
        <w:rPr>
          <w:rFonts w:ascii="宋体" w:hAnsi="宋体" w:cs="宋体"/>
          <w:sz w:val="21"/>
          <w:szCs w:val="18"/>
        </w:rPr>
      </w:pPr>
      <w:r>
        <w:rPr>
          <w:rFonts w:hint="eastAsia" w:ascii="宋体" w:hAnsi="宋体" w:cs="宋体"/>
          <w:sz w:val="21"/>
          <w:szCs w:val="18"/>
        </w:rPr>
        <w:t>3.1.1 磋商小组依据本章第2.1款规定的标准对响应文件进行初步评审。有一项不符合评审标准的，作无效标处理。</w:t>
      </w:r>
    </w:p>
    <w:p>
      <w:pPr>
        <w:spacing w:line="360" w:lineRule="auto"/>
        <w:ind w:firstLine="420" w:firstLineChars="200"/>
        <w:rPr>
          <w:rFonts w:ascii="宋体" w:hAnsi="宋体" w:cs="宋体"/>
          <w:sz w:val="21"/>
          <w:szCs w:val="18"/>
        </w:rPr>
      </w:pPr>
      <w:r>
        <w:rPr>
          <w:rFonts w:hint="eastAsia" w:ascii="宋体" w:hAnsi="宋体" w:cs="宋体"/>
          <w:sz w:val="21"/>
          <w:szCs w:val="18"/>
        </w:rPr>
        <w:t>3.1.2 供应商有以下情形之一的，其投标作无效标处理：</w:t>
      </w:r>
    </w:p>
    <w:p>
      <w:pPr>
        <w:spacing w:line="360" w:lineRule="auto"/>
        <w:ind w:firstLine="420" w:firstLineChars="200"/>
        <w:rPr>
          <w:rFonts w:ascii="宋体" w:hAnsi="宋体" w:cs="宋体"/>
          <w:sz w:val="21"/>
          <w:szCs w:val="18"/>
        </w:rPr>
      </w:pPr>
      <w:r>
        <w:rPr>
          <w:rFonts w:hint="eastAsia" w:ascii="宋体" w:hAnsi="宋体" w:cs="宋体"/>
          <w:sz w:val="21"/>
          <w:szCs w:val="18"/>
        </w:rPr>
        <w:t>（1）第二章“供应商须知”第1.4.3项规定的任何一种情形的；</w:t>
      </w:r>
    </w:p>
    <w:p>
      <w:pPr>
        <w:spacing w:line="360" w:lineRule="auto"/>
        <w:ind w:firstLine="420" w:firstLineChars="200"/>
        <w:rPr>
          <w:rFonts w:ascii="宋体" w:hAnsi="宋体" w:cs="宋体"/>
          <w:sz w:val="21"/>
          <w:szCs w:val="18"/>
        </w:rPr>
      </w:pPr>
      <w:r>
        <w:rPr>
          <w:rFonts w:hint="eastAsia" w:ascii="宋体" w:hAnsi="宋体" w:cs="宋体"/>
          <w:sz w:val="21"/>
          <w:szCs w:val="18"/>
        </w:rPr>
        <w:t>（2）串通投标或弄虚作假或有其他违法行为的；</w:t>
      </w:r>
    </w:p>
    <w:p>
      <w:pPr>
        <w:spacing w:line="360" w:lineRule="auto"/>
        <w:ind w:firstLine="420" w:firstLineChars="200"/>
        <w:rPr>
          <w:rFonts w:ascii="宋体" w:hAnsi="宋体" w:cs="宋体"/>
          <w:sz w:val="21"/>
          <w:szCs w:val="18"/>
        </w:rPr>
      </w:pPr>
      <w:r>
        <w:rPr>
          <w:rFonts w:hint="eastAsia" w:ascii="宋体" w:hAnsi="宋体" w:cs="宋体"/>
          <w:sz w:val="21"/>
          <w:szCs w:val="18"/>
        </w:rPr>
        <w:t>（3）不按磋商小组要求澄清、说明或补正的。</w:t>
      </w:r>
    </w:p>
    <w:p>
      <w:pPr>
        <w:spacing w:line="360" w:lineRule="auto"/>
        <w:ind w:firstLine="420" w:firstLineChars="200"/>
        <w:rPr>
          <w:rFonts w:ascii="宋体" w:hAnsi="宋体" w:cs="宋体"/>
          <w:sz w:val="21"/>
          <w:szCs w:val="18"/>
        </w:rPr>
      </w:pPr>
      <w:r>
        <w:rPr>
          <w:rFonts w:hint="eastAsia" w:ascii="宋体" w:hAnsi="宋体" w:cs="宋体"/>
          <w:sz w:val="21"/>
          <w:szCs w:val="18"/>
        </w:rPr>
        <w:t>3.1.3投标报价有算术错误的，磋商小组按以下原则对投标报价进行修正，修正的价格经投标人书面确认后具有约束力。供应商不接受修正价格的，其投标作无效标处理。</w:t>
      </w:r>
    </w:p>
    <w:p>
      <w:pPr>
        <w:spacing w:line="360" w:lineRule="auto"/>
        <w:ind w:firstLine="420" w:firstLineChars="200"/>
        <w:rPr>
          <w:rFonts w:ascii="宋体" w:hAnsi="宋体" w:cs="宋体"/>
          <w:sz w:val="21"/>
          <w:szCs w:val="18"/>
        </w:rPr>
      </w:pPr>
      <w:r>
        <w:rPr>
          <w:rFonts w:hint="eastAsia" w:ascii="宋体" w:hAnsi="宋体" w:cs="宋体"/>
          <w:sz w:val="21"/>
          <w:szCs w:val="18"/>
        </w:rPr>
        <w:t>（1）响应文件中的大写金额与小写金额不一致的，以大写金额为准；</w:t>
      </w:r>
    </w:p>
    <w:p>
      <w:pPr>
        <w:spacing w:line="360" w:lineRule="auto"/>
        <w:ind w:firstLine="420" w:firstLineChars="200"/>
        <w:rPr>
          <w:rFonts w:ascii="宋体" w:hAnsi="宋体" w:cs="宋体"/>
          <w:sz w:val="21"/>
          <w:szCs w:val="18"/>
        </w:rPr>
      </w:pPr>
      <w:r>
        <w:rPr>
          <w:rFonts w:hint="eastAsia" w:ascii="宋体" w:hAnsi="宋体" w:cs="宋体"/>
          <w:sz w:val="21"/>
          <w:szCs w:val="18"/>
        </w:rPr>
        <w:t>（2）总价金额与依据单价计算出的结果不一致的，以单价金额为准修正总价，但单价金额小数点有明显错误的除外。</w:t>
      </w:r>
    </w:p>
    <w:p>
      <w:pPr>
        <w:spacing w:line="360" w:lineRule="auto"/>
        <w:ind w:firstLine="422" w:firstLineChars="200"/>
        <w:outlineLvl w:val="2"/>
        <w:rPr>
          <w:rFonts w:ascii="宋体" w:hAnsi="宋体" w:cs="宋体"/>
          <w:b/>
          <w:sz w:val="21"/>
          <w:szCs w:val="18"/>
        </w:rPr>
      </w:pPr>
      <w:bookmarkStart w:id="281" w:name="_Toc179632624"/>
      <w:bookmarkStart w:id="282" w:name="_Toc358873701"/>
      <w:r>
        <w:rPr>
          <w:rFonts w:hint="eastAsia" w:ascii="宋体" w:hAnsi="宋体" w:cs="宋体"/>
          <w:b/>
          <w:sz w:val="21"/>
          <w:szCs w:val="18"/>
        </w:rPr>
        <w:t>3.2 详细评审</w:t>
      </w:r>
      <w:bookmarkEnd w:id="281"/>
      <w:bookmarkEnd w:id="282"/>
    </w:p>
    <w:p>
      <w:pPr>
        <w:spacing w:line="360" w:lineRule="auto"/>
        <w:ind w:firstLine="420" w:firstLineChars="200"/>
        <w:rPr>
          <w:rFonts w:ascii="宋体" w:hAnsi="宋体" w:cs="宋体"/>
          <w:sz w:val="21"/>
          <w:szCs w:val="18"/>
        </w:rPr>
      </w:pPr>
      <w:r>
        <w:rPr>
          <w:rFonts w:hint="eastAsia" w:ascii="宋体" w:hAnsi="宋体" w:cs="宋体"/>
          <w:sz w:val="21"/>
          <w:szCs w:val="18"/>
        </w:rPr>
        <w:t>3.2.1 磋商小组按本章第2.2款规定的量化因素和分值进行打分，并计算出综合评估得分。</w:t>
      </w:r>
    </w:p>
    <w:p>
      <w:pPr>
        <w:spacing w:line="360" w:lineRule="auto"/>
        <w:ind w:firstLine="420" w:firstLineChars="200"/>
        <w:rPr>
          <w:rFonts w:ascii="宋体" w:hAnsi="宋体" w:cs="宋体"/>
          <w:sz w:val="21"/>
          <w:szCs w:val="18"/>
        </w:rPr>
      </w:pPr>
      <w:r>
        <w:rPr>
          <w:rFonts w:hint="eastAsia" w:ascii="宋体" w:hAnsi="宋体" w:cs="宋体"/>
          <w:sz w:val="21"/>
          <w:szCs w:val="18"/>
        </w:rPr>
        <w:t>（1）按本章第2.2.2目规定的评审因素和分值对商务标计算出得分a；</w:t>
      </w:r>
    </w:p>
    <w:p>
      <w:pPr>
        <w:spacing w:line="360" w:lineRule="auto"/>
        <w:ind w:firstLine="420" w:firstLineChars="200"/>
        <w:rPr>
          <w:rFonts w:ascii="宋体" w:hAnsi="宋体" w:cs="宋体"/>
          <w:sz w:val="21"/>
          <w:szCs w:val="18"/>
        </w:rPr>
      </w:pPr>
      <w:r>
        <w:rPr>
          <w:rFonts w:hint="eastAsia" w:ascii="宋体" w:hAnsi="宋体" w:cs="宋体"/>
          <w:sz w:val="21"/>
          <w:szCs w:val="18"/>
        </w:rPr>
        <w:t>（2）按本章第2.2.3目规定的评审因素和分值对技术标计算出得分b；</w:t>
      </w:r>
    </w:p>
    <w:p>
      <w:pPr>
        <w:spacing w:line="360" w:lineRule="auto"/>
        <w:ind w:firstLine="420" w:firstLineChars="200"/>
        <w:rPr>
          <w:rFonts w:ascii="宋体" w:hAnsi="宋体" w:cs="宋体"/>
          <w:sz w:val="21"/>
          <w:szCs w:val="18"/>
        </w:rPr>
      </w:pPr>
      <w:r>
        <w:rPr>
          <w:rFonts w:hint="eastAsia" w:ascii="宋体" w:hAnsi="宋体" w:cs="宋体"/>
          <w:sz w:val="21"/>
          <w:szCs w:val="18"/>
        </w:rPr>
        <w:t>（3）按本章第2.2.4目规定的评审因素和分值对综合标计算出得分c；</w:t>
      </w:r>
    </w:p>
    <w:p>
      <w:pPr>
        <w:spacing w:line="360" w:lineRule="auto"/>
        <w:ind w:firstLine="420" w:firstLineChars="200"/>
        <w:rPr>
          <w:rFonts w:ascii="宋体" w:hAnsi="宋体" w:cs="宋体"/>
          <w:sz w:val="21"/>
          <w:szCs w:val="18"/>
        </w:rPr>
      </w:pPr>
      <w:r>
        <w:rPr>
          <w:rFonts w:hint="eastAsia" w:ascii="宋体" w:hAnsi="宋体" w:cs="宋体"/>
          <w:sz w:val="21"/>
          <w:szCs w:val="18"/>
        </w:rPr>
        <w:t>3.2.2 评分分值计算保留小数点后两位，小数点后第三位“四舍五入”。</w:t>
      </w:r>
    </w:p>
    <w:p>
      <w:pPr>
        <w:spacing w:line="360" w:lineRule="auto"/>
        <w:ind w:firstLine="420" w:firstLineChars="200"/>
        <w:rPr>
          <w:rFonts w:ascii="宋体" w:hAnsi="宋体" w:cs="宋体"/>
          <w:sz w:val="21"/>
          <w:szCs w:val="18"/>
        </w:rPr>
      </w:pPr>
      <w:r>
        <w:rPr>
          <w:rFonts w:hint="eastAsia" w:ascii="宋体" w:hAnsi="宋体" w:cs="宋体"/>
          <w:sz w:val="21"/>
          <w:szCs w:val="18"/>
        </w:rPr>
        <w:t>3.2.3 投标人得分=a+b+c（投标人最终得分为：磋商小组所有成员得分的算术平均值）。</w:t>
      </w:r>
    </w:p>
    <w:p>
      <w:pPr>
        <w:spacing w:line="360" w:lineRule="auto"/>
        <w:ind w:firstLine="420" w:firstLineChars="200"/>
        <w:rPr>
          <w:rFonts w:ascii="宋体" w:hAnsi="宋体" w:cs="宋体"/>
          <w:sz w:val="21"/>
          <w:szCs w:val="18"/>
        </w:rPr>
      </w:pPr>
      <w:r>
        <w:rPr>
          <w:rFonts w:hint="eastAsia" w:ascii="宋体" w:hAnsi="宋体" w:cs="宋体"/>
          <w:sz w:val="21"/>
          <w:szCs w:val="18"/>
        </w:rPr>
        <w:t>3.2.4 磋商小组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磋商小组认定该供应商以低于成本报价竞标，否决其投标。</w:t>
      </w:r>
    </w:p>
    <w:p>
      <w:pPr>
        <w:spacing w:line="360" w:lineRule="auto"/>
        <w:ind w:firstLine="422" w:firstLineChars="200"/>
        <w:outlineLvl w:val="2"/>
        <w:rPr>
          <w:rFonts w:ascii="宋体" w:hAnsi="宋体" w:cs="宋体"/>
          <w:b/>
          <w:sz w:val="21"/>
          <w:szCs w:val="18"/>
        </w:rPr>
      </w:pPr>
      <w:bookmarkStart w:id="283" w:name="_Toc179632625"/>
      <w:bookmarkStart w:id="284" w:name="_Toc358873702"/>
      <w:r>
        <w:rPr>
          <w:rFonts w:hint="eastAsia" w:ascii="宋体" w:hAnsi="宋体" w:cs="宋体"/>
          <w:b/>
          <w:sz w:val="21"/>
          <w:szCs w:val="18"/>
        </w:rPr>
        <w:t>3.3 响应文件的澄清和补正</w:t>
      </w:r>
      <w:bookmarkEnd w:id="283"/>
      <w:bookmarkEnd w:id="284"/>
    </w:p>
    <w:p>
      <w:pPr>
        <w:spacing w:line="360" w:lineRule="auto"/>
        <w:ind w:firstLine="420" w:firstLineChars="200"/>
        <w:rPr>
          <w:rFonts w:ascii="宋体" w:hAnsi="宋体" w:cs="宋体"/>
          <w:sz w:val="21"/>
          <w:szCs w:val="18"/>
        </w:rPr>
      </w:pPr>
      <w:r>
        <w:rPr>
          <w:rFonts w:hint="eastAsia" w:ascii="宋体" w:hAnsi="宋体" w:cs="宋体"/>
          <w:sz w:val="21"/>
          <w:szCs w:val="18"/>
        </w:rPr>
        <w:t>3.3.1在评标过程中，磋商小组可以在电子交易系统中要求供应商对所提交响应文件中不明确的内容进行电子澄清或说明，或者对细微偏差进行补正。磋商小组不接受供应商主动提出的澄清、说明或补正。</w:t>
      </w:r>
    </w:p>
    <w:p>
      <w:pPr>
        <w:spacing w:line="360" w:lineRule="auto"/>
        <w:ind w:firstLine="420" w:firstLineChars="200"/>
        <w:rPr>
          <w:rFonts w:ascii="宋体" w:hAnsi="宋体" w:cs="宋体"/>
          <w:sz w:val="21"/>
          <w:szCs w:val="18"/>
        </w:rPr>
      </w:pPr>
      <w:r>
        <w:rPr>
          <w:rFonts w:hint="eastAsia" w:ascii="宋体" w:hAnsi="宋体" w:cs="宋体"/>
          <w:sz w:val="21"/>
          <w:szCs w:val="18"/>
        </w:rPr>
        <w:t>3.3.2 澄清、说明和补正不得改变响应文件的实质性内容（算术性错误修正的除外）。供应商的电子澄清、说明和补正属于响应文件的组成部分。</w:t>
      </w:r>
    </w:p>
    <w:p>
      <w:pPr>
        <w:spacing w:line="360" w:lineRule="auto"/>
        <w:ind w:firstLine="420" w:firstLineChars="200"/>
        <w:rPr>
          <w:rFonts w:ascii="宋体" w:hAnsi="宋体" w:cs="宋体"/>
          <w:sz w:val="21"/>
          <w:szCs w:val="18"/>
        </w:rPr>
      </w:pPr>
      <w:r>
        <w:rPr>
          <w:rFonts w:hint="eastAsia" w:ascii="宋体" w:hAnsi="宋体" w:cs="宋体"/>
          <w:sz w:val="21"/>
          <w:szCs w:val="18"/>
        </w:rPr>
        <w:t>3.3.3 磋商小组对供应商提交的澄清、说明或补正有疑问的，可以要求供应商进一步澄清、说明或补正，直至满足磋商小组的要求。</w:t>
      </w:r>
    </w:p>
    <w:p>
      <w:pPr>
        <w:spacing w:line="360" w:lineRule="auto"/>
        <w:ind w:firstLine="422" w:firstLineChars="200"/>
        <w:outlineLvl w:val="2"/>
        <w:rPr>
          <w:rFonts w:ascii="宋体" w:hAnsi="宋体" w:cs="宋体"/>
          <w:b/>
          <w:sz w:val="21"/>
          <w:szCs w:val="18"/>
        </w:rPr>
      </w:pPr>
      <w:bookmarkStart w:id="285" w:name="_Toc358873703"/>
      <w:bookmarkStart w:id="286" w:name="_Toc179632626"/>
      <w:r>
        <w:rPr>
          <w:rFonts w:hint="eastAsia" w:ascii="宋体" w:hAnsi="宋体" w:cs="宋体"/>
          <w:b/>
          <w:sz w:val="21"/>
          <w:szCs w:val="18"/>
        </w:rPr>
        <w:t>3.4 评标结果</w:t>
      </w:r>
      <w:bookmarkEnd w:id="285"/>
      <w:bookmarkEnd w:id="286"/>
    </w:p>
    <w:p>
      <w:pPr>
        <w:spacing w:line="360" w:lineRule="auto"/>
        <w:ind w:firstLine="420" w:firstLineChars="200"/>
        <w:rPr>
          <w:rFonts w:hint="eastAsia" w:ascii="宋体" w:hAnsi="宋体" w:cs="宋体"/>
          <w:sz w:val="21"/>
          <w:szCs w:val="18"/>
        </w:rPr>
      </w:pPr>
      <w:r>
        <w:rPr>
          <w:rFonts w:hint="eastAsia" w:ascii="宋体" w:hAnsi="宋体" w:cs="宋体"/>
          <w:sz w:val="21"/>
          <w:szCs w:val="18"/>
        </w:rPr>
        <w:t>3.4.1除第二章“供应商须知”前附表授权直接确定中标人外，磋商小组按照得分由高到低的顺序推荐中标候选人。</w:t>
      </w:r>
    </w:p>
    <w:p>
      <w:pPr>
        <w:spacing w:line="360" w:lineRule="auto"/>
        <w:ind w:firstLine="420" w:firstLineChars="200"/>
        <w:rPr>
          <w:rFonts w:hint="eastAsia"/>
        </w:rPr>
      </w:pPr>
      <w:r>
        <w:rPr>
          <w:rFonts w:hint="eastAsia" w:ascii="宋体" w:hAnsi="宋体" w:cs="宋体"/>
          <w:sz w:val="21"/>
          <w:szCs w:val="18"/>
        </w:rPr>
        <w:t>3.4.2 磋商小组完成评标后，应当向采购人提交书面评标报告。</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rPr>
          <w:rFonts w:hint="eastAsia"/>
        </w:rPr>
      </w:pPr>
      <w:r>
        <w:rPr>
          <w:rFonts w:hint="eastAsia"/>
        </w:rPr>
        <w:br w:type="page"/>
      </w:r>
    </w:p>
    <w:p>
      <w:pPr>
        <w:pStyle w:val="7"/>
        <w:spacing w:before="120" w:after="120" w:line="400" w:lineRule="exact"/>
        <w:jc w:val="center"/>
        <w:rPr>
          <w:rFonts w:hint="eastAsia" w:ascii="宋体" w:hAnsi="宋体"/>
          <w:bCs w:val="0"/>
          <w:sz w:val="32"/>
        </w:rPr>
      </w:pPr>
      <w:bookmarkStart w:id="287" w:name="_Toc29766"/>
      <w:bookmarkStart w:id="288" w:name="_Toc6974"/>
      <w:bookmarkStart w:id="289" w:name="_Toc144974577"/>
      <w:bookmarkStart w:id="290" w:name="_Toc152042387"/>
      <w:bookmarkStart w:id="291" w:name="_Toc152045609"/>
      <w:bookmarkStart w:id="292" w:name="_Toc32017_WPSOffice_Level1"/>
      <w:bookmarkStart w:id="293" w:name="_Toc1422"/>
      <w:r>
        <w:rPr>
          <w:rFonts w:hint="eastAsia" w:ascii="宋体" w:hAnsi="宋体"/>
          <w:bCs w:val="0"/>
          <w:sz w:val="32"/>
        </w:rPr>
        <w:t>第四章 合同条款及格式</w:t>
      </w:r>
      <w:bookmarkEnd w:id="287"/>
      <w:bookmarkEnd w:id="288"/>
      <w:bookmarkEnd w:id="289"/>
      <w:bookmarkEnd w:id="290"/>
      <w:bookmarkEnd w:id="291"/>
      <w:bookmarkEnd w:id="292"/>
      <w:bookmarkEnd w:id="293"/>
    </w:p>
    <w:p>
      <w:pPr>
        <w:pStyle w:val="9"/>
        <w:spacing w:line="360" w:lineRule="auto"/>
        <w:jc w:val="center"/>
        <w:rPr>
          <w:rFonts w:hint="eastAsia" w:ascii="宋体" w:hAnsi="宋体" w:eastAsia="宋体" w:cs="宋体"/>
          <w:sz w:val="24"/>
          <w:szCs w:val="24"/>
        </w:rPr>
      </w:pPr>
      <w:bookmarkStart w:id="294" w:name="_Toc296890982"/>
      <w:bookmarkStart w:id="295" w:name="_Toc296503025"/>
      <w:bookmarkStart w:id="296" w:name="_Toc351203480"/>
      <w:r>
        <w:rPr>
          <w:rFonts w:hint="eastAsia" w:ascii="宋体" w:hAnsi="宋体" w:eastAsia="宋体" w:cs="宋体"/>
          <w:b/>
          <w:bCs/>
          <w:sz w:val="24"/>
          <w:szCs w:val="24"/>
        </w:rPr>
        <w:t>最终以甲乙双方商议签订版本为准</w:t>
      </w:r>
    </w:p>
    <w:bookmarkEnd w:id="294"/>
    <w:bookmarkEnd w:id="295"/>
    <w:bookmarkEnd w:id="296"/>
    <w:p>
      <w:pPr>
        <w:spacing w:line="360" w:lineRule="auto"/>
        <w:rPr>
          <w:rFonts w:hint="eastAsia" w:ascii="宋体" w:hAnsi="宋体" w:eastAsia="宋体" w:cs="宋体"/>
          <w:sz w:val="21"/>
          <w:szCs w:val="21"/>
        </w:rPr>
      </w:pPr>
    </w:p>
    <w:p>
      <w:pPr>
        <w:jc w:val="center"/>
        <w:rPr>
          <w:rFonts w:hint="eastAsia" w:ascii="宋体" w:hAnsi="宋体"/>
          <w:b/>
          <w:sz w:val="36"/>
        </w:rPr>
      </w:pPr>
      <w:r>
        <w:rPr>
          <w:rFonts w:hint="eastAsia" w:ascii="宋体" w:hAnsi="宋体"/>
          <w:b/>
          <w:sz w:val="36"/>
        </w:rPr>
        <w:t>×××采购合同</w:t>
      </w:r>
    </w:p>
    <w:p>
      <w:pPr>
        <w:jc w:val="center"/>
        <w:rPr>
          <w:rFonts w:hint="eastAsia" w:ascii="宋体" w:hAnsi="宋体"/>
          <w:b/>
          <w:sz w:val="24"/>
        </w:rPr>
      </w:pPr>
      <w:r>
        <w:rPr>
          <w:rFonts w:hint="eastAsia" w:ascii="宋体" w:hAnsi="宋体"/>
          <w:b/>
          <w:sz w:val="24"/>
        </w:rPr>
        <w:t>（参考文本）</w:t>
      </w:r>
    </w:p>
    <w:p>
      <w:pPr>
        <w:spacing w:line="420" w:lineRule="exact"/>
        <w:ind w:left="-284"/>
        <w:rPr>
          <w:rFonts w:hint="eastAsia" w:ascii="宋体" w:hAnsi="宋体"/>
          <w:sz w:val="24"/>
        </w:rPr>
      </w:pPr>
    </w:p>
    <w:p>
      <w:pPr>
        <w:spacing w:line="440" w:lineRule="exact"/>
        <w:rPr>
          <w:rFonts w:hint="eastAsia" w:ascii="宋体" w:hAnsi="宋体"/>
          <w:sz w:val="24"/>
        </w:rPr>
      </w:pPr>
      <w:r>
        <w:rPr>
          <w:rFonts w:hint="eastAsia" w:ascii="宋体" w:hAnsi="宋体"/>
          <w:sz w:val="24"/>
        </w:rPr>
        <w:t>甲方（</w:t>
      </w:r>
      <w:r>
        <w:rPr>
          <w:rFonts w:hint="eastAsia" w:ascii="宋体" w:hAnsi="宋体"/>
          <w:sz w:val="24"/>
          <w:lang w:val="en-US" w:eastAsia="zh-CN"/>
        </w:rPr>
        <w:t>招</w:t>
      </w:r>
      <w:r>
        <w:rPr>
          <w:rFonts w:hint="eastAsia" w:ascii="宋体" w:hAnsi="宋体"/>
          <w:sz w:val="24"/>
        </w:rPr>
        <w:t>标人）：</w:t>
      </w:r>
      <w:r>
        <w:rPr>
          <w:rFonts w:hint="eastAsia" w:ascii="宋体" w:hAnsi="宋体"/>
          <w:sz w:val="24"/>
          <w:u w:val="single"/>
          <w:lang w:val="en-US" w:eastAsia="zh-CN"/>
        </w:rPr>
        <w:t xml:space="preserve">                   </w:t>
      </w:r>
    </w:p>
    <w:p>
      <w:pPr>
        <w:spacing w:line="440" w:lineRule="exact"/>
        <w:rPr>
          <w:rFonts w:hint="eastAsia" w:ascii="宋体" w:hAnsi="宋体"/>
          <w:sz w:val="24"/>
        </w:rPr>
      </w:pPr>
      <w:r>
        <w:rPr>
          <w:rFonts w:hint="eastAsia" w:ascii="宋体" w:hAnsi="宋体"/>
          <w:sz w:val="24"/>
        </w:rPr>
        <w:t>乙方（中标人）：</w:t>
      </w:r>
      <w:r>
        <w:rPr>
          <w:rFonts w:hint="eastAsia" w:ascii="宋体" w:hAnsi="宋体"/>
          <w:sz w:val="24"/>
          <w:u w:val="single"/>
          <w:lang w:val="en-US" w:eastAsia="zh-CN"/>
        </w:rPr>
        <w:t xml:space="preserve">                   </w:t>
      </w:r>
      <w:r>
        <w:rPr>
          <w:rFonts w:hint="eastAsia" w:ascii="宋体" w:hAnsi="宋体"/>
          <w:sz w:val="24"/>
        </w:rPr>
        <w:t xml:space="preserve"> </w:t>
      </w:r>
    </w:p>
    <w:p>
      <w:pPr>
        <w:spacing w:line="440" w:lineRule="exact"/>
        <w:ind w:firstLine="480"/>
        <w:rPr>
          <w:rFonts w:hint="eastAsia" w:ascii="宋体" w:hAnsi="宋体"/>
          <w:sz w:val="24"/>
        </w:rPr>
      </w:pPr>
    </w:p>
    <w:p>
      <w:pPr>
        <w:spacing w:line="440" w:lineRule="exact"/>
        <w:ind w:firstLine="480"/>
        <w:rPr>
          <w:rFonts w:hint="eastAsia" w:ascii="宋体" w:hAnsi="宋体" w:eastAsia="宋体"/>
          <w:sz w:val="24"/>
          <w:lang w:eastAsia="zh-CN"/>
        </w:rPr>
      </w:pPr>
      <w:r>
        <w:rPr>
          <w:rFonts w:hint="eastAsia" w:ascii="宋体" w:hAnsi="宋体"/>
          <w:sz w:val="24"/>
        </w:rPr>
        <w:t>甲、乙双方依据《中华人民共和国合同法》及相关法律法规的规定，本着平等自愿、互惠互利、友好协商的原则，就甲方购买乙方货物事宜达成如下协议</w:t>
      </w:r>
      <w:r>
        <w:rPr>
          <w:rFonts w:hint="eastAsia" w:ascii="宋体" w:hAnsi="宋体"/>
          <w:sz w:val="24"/>
          <w:lang w:eastAsia="zh-CN"/>
        </w:rPr>
        <w:t>：</w:t>
      </w:r>
    </w:p>
    <w:p>
      <w:pPr>
        <w:spacing w:line="440" w:lineRule="exact"/>
        <w:rPr>
          <w:rFonts w:hint="eastAsia" w:ascii="宋体" w:hAnsi="宋体"/>
          <w:sz w:val="24"/>
        </w:rPr>
      </w:pPr>
      <w:r>
        <w:rPr>
          <w:rFonts w:hint="eastAsia" w:ascii="宋体" w:hAnsi="宋体"/>
          <w:sz w:val="24"/>
        </w:rPr>
        <w:t>1、合同标的和合同价格</w:t>
      </w:r>
    </w:p>
    <w:tbl>
      <w:tblPr>
        <w:tblStyle w:val="17"/>
        <w:tblW w:w="910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582"/>
        <w:gridCol w:w="1236"/>
        <w:gridCol w:w="914"/>
        <w:gridCol w:w="1155"/>
        <w:gridCol w:w="126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rPr>
            </w:pPr>
            <w:r>
              <w:rPr>
                <w:rFonts w:hint="eastAsia" w:ascii="宋体" w:hAnsi="宋体"/>
                <w:sz w:val="24"/>
              </w:rPr>
              <w:t>产品名称</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rPr>
            </w:pPr>
            <w:r>
              <w:rPr>
                <w:rFonts w:hint="eastAsia" w:ascii="宋体" w:hAnsi="宋体"/>
                <w:sz w:val="24"/>
              </w:rPr>
              <w:t>规格型号</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rPr>
            </w:pPr>
            <w:r>
              <w:rPr>
                <w:rFonts w:hint="eastAsia" w:ascii="宋体" w:hAnsi="宋体"/>
                <w:sz w:val="24"/>
              </w:rPr>
              <w:t>生产厂家</w:t>
            </w:r>
          </w:p>
        </w:tc>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rPr>
            </w:pPr>
            <w:r>
              <w:rPr>
                <w:rFonts w:hint="eastAsia" w:ascii="宋体" w:hAnsi="宋体"/>
                <w:sz w:val="24"/>
              </w:rPr>
              <w:t>数 量</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rPr>
            </w:pPr>
            <w:r>
              <w:rPr>
                <w:rFonts w:hint="eastAsia" w:ascii="宋体" w:hAnsi="宋体"/>
                <w:sz w:val="24"/>
              </w:rPr>
              <w:t>单 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rPr>
            </w:pPr>
            <w:r>
              <w:rPr>
                <w:rFonts w:hint="eastAsia" w:ascii="宋体" w:hAnsi="宋体"/>
                <w:sz w:val="24"/>
              </w:rPr>
              <w:t>总 价</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rPr>
            </w:pPr>
            <w:r>
              <w:rPr>
                <w:rFonts w:hint="eastAsia" w:ascii="宋体" w:hAnsi="宋体"/>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sz w:val="24"/>
              </w:rPr>
            </w:pPr>
          </w:p>
          <w:p>
            <w:pPr>
              <w:spacing w:line="440" w:lineRule="exact"/>
              <w:rPr>
                <w:rFonts w:ascii="宋体" w:hAnsi="宋体"/>
                <w:sz w:val="24"/>
              </w:rPr>
            </w:pPr>
          </w:p>
        </w:tc>
        <w:tc>
          <w:tcPr>
            <w:tcW w:w="1582"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sz w:val="24"/>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sz w:val="24"/>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sz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sz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sz w:val="24"/>
              </w:rPr>
            </w:pPr>
          </w:p>
          <w:p>
            <w:pPr>
              <w:spacing w:line="440" w:lineRule="exact"/>
              <w:rPr>
                <w:rFonts w:ascii="宋体" w:hAnsi="宋体"/>
                <w:sz w:val="24"/>
              </w:rPr>
            </w:pPr>
          </w:p>
        </w:tc>
        <w:tc>
          <w:tcPr>
            <w:tcW w:w="1582"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sz w:val="24"/>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sz w:val="24"/>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sz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sz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sz w:val="24"/>
              </w:rPr>
            </w:pPr>
          </w:p>
          <w:p>
            <w:pPr>
              <w:spacing w:line="440" w:lineRule="exact"/>
              <w:rPr>
                <w:rFonts w:ascii="宋体" w:hAnsi="宋体"/>
                <w:sz w:val="24"/>
              </w:rPr>
            </w:pPr>
          </w:p>
        </w:tc>
        <w:tc>
          <w:tcPr>
            <w:tcW w:w="1582"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sz w:val="24"/>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sz w:val="24"/>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sz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sz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sz w:val="24"/>
              </w:rPr>
            </w:pPr>
          </w:p>
          <w:p>
            <w:pPr>
              <w:spacing w:line="440" w:lineRule="exact"/>
              <w:rPr>
                <w:rFonts w:ascii="宋体" w:hAnsi="宋体"/>
                <w:sz w:val="24"/>
              </w:rPr>
            </w:pPr>
          </w:p>
        </w:tc>
        <w:tc>
          <w:tcPr>
            <w:tcW w:w="1582"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sz w:val="24"/>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sz w:val="24"/>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sz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sz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宋体" w:hAnsi="宋体"/>
                <w:sz w:val="24"/>
              </w:rPr>
            </w:pPr>
          </w:p>
        </w:tc>
      </w:tr>
    </w:tbl>
    <w:p>
      <w:pPr>
        <w:spacing w:line="440" w:lineRule="exact"/>
        <w:rPr>
          <w:rFonts w:hint="eastAsia" w:ascii="宋体" w:hAnsi="宋体"/>
          <w:sz w:val="24"/>
        </w:rPr>
      </w:pPr>
      <w:r>
        <w:rPr>
          <w:rFonts w:hint="eastAsia" w:ascii="宋体" w:hAnsi="宋体"/>
          <w:sz w:val="24"/>
        </w:rPr>
        <w:t>2、交货方式和交货地点</w:t>
      </w:r>
    </w:p>
    <w:p>
      <w:pPr>
        <w:spacing w:line="440" w:lineRule="exact"/>
        <w:ind w:firstLine="480" w:firstLineChars="200"/>
        <w:rPr>
          <w:rFonts w:hint="eastAsia" w:ascii="宋体" w:hAnsi="宋体"/>
          <w:sz w:val="24"/>
          <w:u w:val="single"/>
        </w:rPr>
      </w:pPr>
      <w:r>
        <w:rPr>
          <w:rFonts w:hint="eastAsia" w:ascii="宋体" w:hAnsi="宋体"/>
          <w:sz w:val="24"/>
        </w:rPr>
        <w:t xml:space="preserve">2.1交货方式： </w:t>
      </w:r>
      <w:r>
        <w:rPr>
          <w:rFonts w:hint="eastAsia" w:ascii="宋体" w:hAnsi="宋体"/>
          <w:sz w:val="24"/>
          <w:u w:val="single"/>
        </w:rPr>
        <w:t xml:space="preserve">                   </w:t>
      </w:r>
    </w:p>
    <w:p>
      <w:pPr>
        <w:spacing w:line="440" w:lineRule="exact"/>
        <w:ind w:firstLine="480" w:firstLineChars="200"/>
        <w:rPr>
          <w:rFonts w:hint="eastAsia" w:ascii="宋体" w:hAnsi="宋体"/>
          <w:sz w:val="24"/>
        </w:rPr>
      </w:pPr>
      <w:r>
        <w:rPr>
          <w:rFonts w:hint="eastAsia" w:ascii="宋体" w:hAnsi="宋体"/>
          <w:sz w:val="24"/>
        </w:rPr>
        <w:t>2.2交货地点：</w:t>
      </w:r>
      <w:r>
        <w:rPr>
          <w:rFonts w:hint="eastAsia" w:ascii="宋体" w:hAnsi="宋体"/>
          <w:sz w:val="24"/>
          <w:u w:val="single"/>
        </w:rPr>
        <w:t xml:space="preserve">                     </w:t>
      </w:r>
    </w:p>
    <w:p>
      <w:pPr>
        <w:spacing w:line="440" w:lineRule="exact"/>
        <w:rPr>
          <w:rFonts w:hint="eastAsia" w:ascii="宋体" w:hAnsi="宋体"/>
          <w:sz w:val="24"/>
        </w:rPr>
      </w:pPr>
      <w:r>
        <w:rPr>
          <w:rFonts w:hint="eastAsia" w:ascii="宋体" w:hAnsi="宋体"/>
          <w:sz w:val="24"/>
        </w:rPr>
        <w:t>3、供货清单</w:t>
      </w:r>
    </w:p>
    <w:p>
      <w:pPr>
        <w:spacing w:line="440" w:lineRule="exact"/>
        <w:rPr>
          <w:rFonts w:hint="eastAsia" w:ascii="宋体" w:hAnsi="宋体"/>
          <w:sz w:val="24"/>
        </w:rPr>
      </w:pPr>
      <w:r>
        <w:rPr>
          <w:rFonts w:hint="eastAsia" w:ascii="宋体" w:hAnsi="宋体"/>
          <w:sz w:val="24"/>
        </w:rPr>
        <w:t xml:space="preserve">   3.1供货清单：包括产品主机、随机备品备件、专用工具的名称及数量。</w:t>
      </w:r>
    </w:p>
    <w:p>
      <w:pPr>
        <w:spacing w:line="440" w:lineRule="exact"/>
        <w:rPr>
          <w:rFonts w:hint="eastAsia" w:ascii="宋体" w:hAnsi="宋体"/>
          <w:sz w:val="24"/>
        </w:rPr>
      </w:pPr>
      <w:r>
        <w:rPr>
          <w:rFonts w:hint="eastAsia" w:ascii="宋体" w:hAnsi="宋体"/>
          <w:sz w:val="24"/>
        </w:rPr>
        <w:t>4、付款方式与条件</w:t>
      </w:r>
    </w:p>
    <w:p>
      <w:pPr>
        <w:spacing w:line="440" w:lineRule="exact"/>
        <w:rPr>
          <w:rFonts w:hint="eastAsia" w:ascii="宋体" w:hAnsi="宋体"/>
          <w:sz w:val="24"/>
        </w:rPr>
      </w:pPr>
      <w:r>
        <w:rPr>
          <w:rFonts w:hint="eastAsia" w:ascii="宋体" w:hAnsi="宋体"/>
          <w:sz w:val="24"/>
        </w:rPr>
        <w:t xml:space="preserve">   4.1货物交货付款</w:t>
      </w:r>
    </w:p>
    <w:p>
      <w:pPr>
        <w:spacing w:line="440" w:lineRule="exact"/>
        <w:rPr>
          <w:rFonts w:hint="eastAsia" w:ascii="宋体" w:hAnsi="宋体"/>
          <w:sz w:val="24"/>
          <w:u w:val="single"/>
          <w:lang w:val="en-US" w:eastAsia="zh-CN"/>
        </w:rPr>
      </w:pPr>
      <w:r>
        <w:rPr>
          <w:rFonts w:hint="eastAsia" w:ascii="宋体" w:hAnsi="宋体"/>
          <w:sz w:val="24"/>
        </w:rPr>
        <w:t xml:space="preserve">    </w:t>
      </w:r>
      <w:r>
        <w:rPr>
          <w:rFonts w:hint="eastAsia" w:ascii="宋体" w:hAnsi="宋体"/>
          <w:sz w:val="24"/>
          <w:u w:val="single"/>
          <w:lang w:val="en-US" w:eastAsia="zh-CN"/>
        </w:rPr>
        <w:t xml:space="preserve">                                                                 </w:t>
      </w:r>
    </w:p>
    <w:p>
      <w:pPr>
        <w:spacing w:line="440" w:lineRule="exact"/>
        <w:rPr>
          <w:rFonts w:hint="default" w:ascii="宋体" w:hAnsi="宋体"/>
          <w:sz w:val="24"/>
          <w:u w:val="single"/>
          <w:lang w:val="en-US" w:eastAsia="zh-CN"/>
        </w:rPr>
      </w:pPr>
      <w:r>
        <w:rPr>
          <w:rFonts w:hint="eastAsia" w:ascii="宋体" w:hAnsi="宋体"/>
          <w:sz w:val="24"/>
          <w:u w:val="single"/>
          <w:lang w:val="en-US" w:eastAsia="zh-CN"/>
        </w:rPr>
        <w:t xml:space="preserve">                                                                     </w:t>
      </w:r>
    </w:p>
    <w:p>
      <w:pPr>
        <w:spacing w:line="440" w:lineRule="exact"/>
        <w:rPr>
          <w:rFonts w:hint="eastAsia" w:ascii="宋体" w:hAnsi="宋体"/>
          <w:sz w:val="24"/>
        </w:rPr>
      </w:pPr>
      <w:r>
        <w:rPr>
          <w:rFonts w:hint="eastAsia" w:ascii="宋体" w:hAnsi="宋体"/>
          <w:sz w:val="24"/>
        </w:rPr>
        <w:t xml:space="preserve">    现场交货条件下，乙方要求付款应提交下列单证和文件。</w:t>
      </w:r>
    </w:p>
    <w:p>
      <w:pPr>
        <w:spacing w:line="440" w:lineRule="exact"/>
        <w:ind w:firstLine="240" w:firstLineChars="100"/>
        <w:rPr>
          <w:rFonts w:hint="eastAsia" w:ascii="宋体" w:hAnsi="宋体"/>
          <w:sz w:val="24"/>
        </w:rPr>
      </w:pPr>
      <w:r>
        <w:rPr>
          <w:rFonts w:hint="eastAsia" w:ascii="宋体" w:hAnsi="宋体"/>
          <w:sz w:val="24"/>
        </w:rPr>
        <w:t>a.金额为有关合同货物价格</w:t>
      </w:r>
      <w:r>
        <w:rPr>
          <w:rFonts w:hint="eastAsia" w:ascii="宋体" w:hAnsi="宋体"/>
          <w:sz w:val="24"/>
          <w:u w:val="single"/>
        </w:rPr>
        <w:t xml:space="preserve">      %</w:t>
      </w:r>
      <w:r>
        <w:rPr>
          <w:rFonts w:hint="eastAsia" w:ascii="宋体" w:hAnsi="宋体"/>
          <w:sz w:val="24"/>
        </w:rPr>
        <w:t>的正式发票。</w:t>
      </w:r>
    </w:p>
    <w:p>
      <w:pPr>
        <w:spacing w:line="440" w:lineRule="exact"/>
        <w:rPr>
          <w:rFonts w:hint="eastAsia" w:ascii="宋体" w:hAnsi="宋体"/>
          <w:sz w:val="24"/>
        </w:rPr>
      </w:pPr>
      <w:r>
        <w:rPr>
          <w:rFonts w:hint="eastAsia" w:ascii="宋体" w:hAnsi="宋体"/>
          <w:sz w:val="24"/>
        </w:rPr>
        <w:t xml:space="preserve">  b.制造厂家出具的货物质量合格证书。</w:t>
      </w:r>
    </w:p>
    <w:p>
      <w:pPr>
        <w:spacing w:line="440" w:lineRule="exact"/>
        <w:rPr>
          <w:rFonts w:hint="eastAsia" w:ascii="宋体" w:hAnsi="宋体"/>
          <w:sz w:val="24"/>
        </w:rPr>
      </w:pPr>
      <w:r>
        <w:rPr>
          <w:rFonts w:hint="eastAsia" w:ascii="宋体" w:hAnsi="宋体"/>
          <w:sz w:val="24"/>
        </w:rPr>
        <w:t xml:space="preserve">  c. 甲方已收讫货物的验收凭证。</w:t>
      </w:r>
    </w:p>
    <w:p>
      <w:pPr>
        <w:spacing w:line="440" w:lineRule="exact"/>
        <w:rPr>
          <w:rFonts w:hint="eastAsia" w:ascii="宋体" w:hAnsi="宋体"/>
          <w:sz w:val="24"/>
        </w:rPr>
      </w:pPr>
      <w:r>
        <w:rPr>
          <w:rFonts w:hint="eastAsia" w:ascii="宋体" w:hAnsi="宋体"/>
          <w:sz w:val="24"/>
        </w:rPr>
        <w:t xml:space="preserve">  d. 甲方签发的验收合格文件。</w:t>
      </w:r>
    </w:p>
    <w:p>
      <w:pPr>
        <w:spacing w:line="440" w:lineRule="exact"/>
        <w:rPr>
          <w:rFonts w:hint="eastAsia" w:ascii="宋体" w:hAnsi="宋体"/>
          <w:sz w:val="24"/>
        </w:rPr>
      </w:pPr>
      <w:r>
        <w:rPr>
          <w:rFonts w:hint="eastAsia" w:ascii="宋体" w:hAnsi="宋体"/>
          <w:sz w:val="24"/>
        </w:rPr>
        <w:t xml:space="preserve">    4.2分期支付货款的，余下的货款应于</w:t>
      </w:r>
      <w:r>
        <w:rPr>
          <w:rFonts w:hint="eastAsia" w:ascii="宋体" w:hAnsi="宋体"/>
          <w:sz w:val="24"/>
          <w:u w:val="single"/>
        </w:rPr>
        <w:t xml:space="preserve">       </w:t>
      </w:r>
      <w:r>
        <w:rPr>
          <w:rFonts w:hint="eastAsia" w:ascii="宋体" w:hAnsi="宋体"/>
          <w:sz w:val="24"/>
        </w:rPr>
        <w:t>（时间）支付。</w:t>
      </w:r>
    </w:p>
    <w:p>
      <w:pPr>
        <w:spacing w:line="440" w:lineRule="exact"/>
        <w:rPr>
          <w:rFonts w:hint="eastAsia" w:ascii="宋体" w:hAnsi="宋体"/>
          <w:sz w:val="24"/>
        </w:rPr>
      </w:pPr>
      <w:r>
        <w:rPr>
          <w:rFonts w:hint="eastAsia" w:ascii="宋体" w:hAnsi="宋体"/>
          <w:sz w:val="24"/>
        </w:rPr>
        <w:t>5、质量要求和技术标准</w:t>
      </w:r>
    </w:p>
    <w:p>
      <w:pPr>
        <w:spacing w:line="440" w:lineRule="exact"/>
        <w:ind w:firstLine="480" w:firstLineChars="200"/>
        <w:rPr>
          <w:rFonts w:hint="eastAsia" w:ascii="宋体" w:hAnsi="宋体" w:cs="宋体"/>
          <w:sz w:val="24"/>
        </w:rPr>
      </w:pPr>
      <w:r>
        <w:rPr>
          <w:rFonts w:hint="eastAsia" w:ascii="宋体" w:hAnsi="宋体"/>
          <w:sz w:val="24"/>
        </w:rPr>
        <w:t>质量条款可细分为产品质量、包装质量、技术</w:t>
      </w:r>
      <w:r>
        <w:rPr>
          <w:rFonts w:hint="eastAsia" w:ascii="宋体" w:hAnsi="宋体" w:cs="宋体"/>
          <w:sz w:val="24"/>
        </w:rPr>
        <w:t>资料质量等内容。</w:t>
      </w:r>
    </w:p>
    <w:p>
      <w:pPr>
        <w:spacing w:line="440" w:lineRule="exact"/>
        <w:rPr>
          <w:rFonts w:hint="eastAsia" w:ascii="宋体" w:hAnsi="宋体"/>
          <w:sz w:val="24"/>
        </w:rPr>
      </w:pPr>
      <w:r>
        <w:rPr>
          <w:rFonts w:hint="eastAsia" w:ascii="宋体" w:hAnsi="宋体"/>
          <w:sz w:val="24"/>
        </w:rPr>
        <w:t>6、安装调试、技术服务、人员培训及技术资料</w:t>
      </w:r>
    </w:p>
    <w:p>
      <w:pPr>
        <w:spacing w:line="440" w:lineRule="exact"/>
        <w:rPr>
          <w:rFonts w:hint="eastAsia" w:ascii="宋体" w:hAnsi="宋体"/>
          <w:sz w:val="24"/>
        </w:rPr>
      </w:pPr>
      <w:r>
        <w:rPr>
          <w:rFonts w:hint="eastAsia" w:ascii="宋体" w:hAnsi="宋体"/>
          <w:sz w:val="24"/>
        </w:rPr>
        <w:t xml:space="preserve">  </w:t>
      </w:r>
      <w:r>
        <w:rPr>
          <w:rFonts w:hint="eastAsia" w:ascii="宋体" w:hAnsi="宋体"/>
          <w:sz w:val="24"/>
          <w:u w:val="single"/>
        </w:rPr>
        <w:t xml:space="preserve">                                                           </w:t>
      </w:r>
    </w:p>
    <w:p>
      <w:pPr>
        <w:spacing w:line="440" w:lineRule="exact"/>
        <w:rPr>
          <w:rFonts w:hint="eastAsia" w:ascii="宋体" w:hAnsi="宋体"/>
          <w:sz w:val="24"/>
        </w:rPr>
      </w:pPr>
      <w:r>
        <w:rPr>
          <w:rFonts w:hint="eastAsia" w:ascii="宋体" w:hAnsi="宋体"/>
          <w:sz w:val="24"/>
        </w:rPr>
        <w:t>7、验收</w:t>
      </w:r>
    </w:p>
    <w:p>
      <w:pPr>
        <w:spacing w:line="440" w:lineRule="exact"/>
        <w:ind w:firstLine="480" w:firstLineChars="200"/>
        <w:rPr>
          <w:rFonts w:hint="eastAsia" w:ascii="宋体" w:hAnsi="宋体"/>
          <w:sz w:val="24"/>
        </w:rPr>
      </w:pPr>
      <w:r>
        <w:rPr>
          <w:rFonts w:hint="eastAsia" w:ascii="宋体" w:hAnsi="宋体"/>
          <w:sz w:val="24"/>
        </w:rPr>
        <w:t>验收结果经双方确认后，双方代表必须按规定的验收交接单上的项目对照本合同填好验收结果并签名盖章。</w:t>
      </w:r>
    </w:p>
    <w:p>
      <w:pPr>
        <w:spacing w:line="440" w:lineRule="exact"/>
        <w:rPr>
          <w:rFonts w:hint="eastAsia" w:ascii="宋体" w:hAnsi="宋体"/>
          <w:sz w:val="24"/>
        </w:rPr>
      </w:pPr>
      <w:r>
        <w:rPr>
          <w:rFonts w:hint="eastAsia" w:ascii="宋体" w:hAnsi="宋体"/>
          <w:sz w:val="24"/>
        </w:rPr>
        <w:t>8、质量保证</w:t>
      </w:r>
    </w:p>
    <w:p>
      <w:pPr>
        <w:spacing w:line="440" w:lineRule="exact"/>
        <w:ind w:firstLine="480" w:firstLineChars="200"/>
        <w:rPr>
          <w:rFonts w:hint="eastAsia" w:ascii="宋体" w:hAnsi="宋体"/>
          <w:sz w:val="24"/>
        </w:rPr>
      </w:pPr>
      <w:r>
        <w:rPr>
          <w:rFonts w:hint="eastAsia" w:ascii="宋体" w:hAnsi="宋体"/>
          <w:sz w:val="24"/>
        </w:rPr>
        <w:t xml:space="preserve">各合同包货物质保期要求均为货物经最终验收合格后 </w:t>
      </w:r>
      <w:r>
        <w:rPr>
          <w:rFonts w:hint="eastAsia" w:ascii="宋体" w:hAnsi="宋体"/>
          <w:sz w:val="24"/>
          <w:u w:val="single"/>
        </w:rPr>
        <w:t xml:space="preserve">    </w:t>
      </w:r>
      <w:r>
        <w:rPr>
          <w:rFonts w:hint="eastAsia" w:ascii="宋体" w:hAnsi="宋体"/>
          <w:sz w:val="24"/>
        </w:rPr>
        <w:t>个月，在质量保证期内设备运行发生故障时，乙方在接到甲方故障通知后</w:t>
      </w:r>
      <w:r>
        <w:rPr>
          <w:rFonts w:hint="eastAsia" w:ascii="宋体" w:hAnsi="宋体"/>
          <w:sz w:val="24"/>
          <w:u w:val="single"/>
        </w:rPr>
        <w:t xml:space="preserve">   </w:t>
      </w:r>
      <w:r>
        <w:rPr>
          <w:rFonts w:hint="eastAsia" w:ascii="宋体" w:hAnsi="宋体"/>
          <w:sz w:val="24"/>
        </w:rPr>
        <w:t>小时内应委派专业技术人员到现场免费提供咨询、维修和更换零部件等服务，并及时填写维修报告（包括故障原因、处理情况及甲方意见等）报甲方备案，若</w:t>
      </w:r>
      <w:r>
        <w:rPr>
          <w:rFonts w:hint="eastAsia" w:ascii="宋体" w:hAnsi="宋体"/>
          <w:sz w:val="24"/>
          <w:u w:val="single"/>
        </w:rPr>
        <w:t xml:space="preserve">    </w:t>
      </w:r>
      <w:r>
        <w:rPr>
          <w:rFonts w:hint="eastAsia" w:ascii="宋体" w:hAnsi="宋体"/>
          <w:sz w:val="24"/>
        </w:rPr>
        <w:t>小时内无法排除故障，则应先提供同档次备用机供甲方使用。其中发生一切费用由乙方承担。质量保证期内乙方有责任对设备进行不定期的巡查检修。投标人视自身能力在投标文件中提供更优、更合理的维修服务承诺。</w:t>
      </w:r>
    </w:p>
    <w:p>
      <w:pPr>
        <w:spacing w:line="440" w:lineRule="exact"/>
        <w:rPr>
          <w:rFonts w:hint="eastAsia" w:ascii="宋体" w:hAnsi="宋体"/>
          <w:sz w:val="24"/>
        </w:rPr>
      </w:pPr>
      <w:r>
        <w:rPr>
          <w:rFonts w:hint="eastAsia" w:ascii="宋体" w:hAnsi="宋体"/>
          <w:sz w:val="24"/>
        </w:rPr>
        <w:t>9、知识产权：</w:t>
      </w:r>
    </w:p>
    <w:p>
      <w:pPr>
        <w:spacing w:line="440" w:lineRule="exact"/>
        <w:ind w:firstLine="480" w:firstLineChars="200"/>
        <w:rPr>
          <w:rFonts w:hint="eastAsia" w:ascii="宋体" w:hAnsi="宋体"/>
          <w:sz w:val="24"/>
        </w:rPr>
      </w:pPr>
      <w:r>
        <w:rPr>
          <w:rFonts w:hint="eastAsia" w:ascii="宋体" w:hAnsi="宋体"/>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440" w:lineRule="exact"/>
        <w:rPr>
          <w:rFonts w:hint="eastAsia" w:ascii="宋体" w:hAnsi="宋体"/>
          <w:sz w:val="24"/>
        </w:rPr>
      </w:pPr>
      <w:r>
        <w:rPr>
          <w:rFonts w:hint="eastAsia" w:ascii="宋体" w:hAnsi="宋体"/>
          <w:sz w:val="24"/>
        </w:rPr>
        <w:t>10、违约责任</w:t>
      </w:r>
    </w:p>
    <w:p>
      <w:pPr>
        <w:spacing w:line="440" w:lineRule="exact"/>
        <w:ind w:firstLine="480"/>
        <w:rPr>
          <w:rFonts w:hint="eastAsia" w:ascii="宋体" w:hAnsi="宋体"/>
          <w:sz w:val="24"/>
        </w:rPr>
      </w:pPr>
      <w:r>
        <w:rPr>
          <w:rFonts w:hint="eastAsia" w:ascii="宋体" w:hAnsi="宋体"/>
          <w:sz w:val="24"/>
        </w:rPr>
        <w:t>10.1未按期交货的违约责任：</w:t>
      </w:r>
    </w:p>
    <w:p>
      <w:pPr>
        <w:spacing w:line="440" w:lineRule="exact"/>
        <w:jc w:val="left"/>
        <w:rPr>
          <w:rFonts w:hint="eastAsia" w:ascii="宋体" w:hAnsi="宋体"/>
          <w:sz w:val="24"/>
          <w:u w:val="single"/>
        </w:rPr>
      </w:pPr>
      <w:r>
        <w:rPr>
          <w:rFonts w:hint="eastAsia" w:ascii="宋体" w:hAnsi="宋体"/>
          <w:sz w:val="24"/>
        </w:rPr>
        <w:t xml:space="preserve">    </w:t>
      </w:r>
      <w:r>
        <w:rPr>
          <w:rFonts w:hint="eastAsia" w:ascii="宋体" w:hAnsi="宋体"/>
          <w:sz w:val="24"/>
          <w:u w:val="single"/>
        </w:rPr>
        <w:t xml:space="preserve">                                                           </w:t>
      </w:r>
    </w:p>
    <w:p>
      <w:pPr>
        <w:spacing w:line="440" w:lineRule="exact"/>
        <w:rPr>
          <w:rFonts w:hint="eastAsia" w:ascii="宋体" w:hAnsi="宋体"/>
          <w:sz w:val="24"/>
        </w:rPr>
      </w:pPr>
      <w:r>
        <w:rPr>
          <w:rFonts w:hint="eastAsia" w:ascii="宋体" w:hAnsi="宋体"/>
          <w:sz w:val="24"/>
        </w:rPr>
        <w:t>11、违约终止合同</w:t>
      </w:r>
    </w:p>
    <w:p>
      <w:pPr>
        <w:spacing w:line="440" w:lineRule="exact"/>
        <w:rPr>
          <w:rFonts w:hint="eastAsia" w:ascii="宋体" w:hAnsi="宋体"/>
          <w:sz w:val="24"/>
        </w:rPr>
      </w:pPr>
      <w:r>
        <w:rPr>
          <w:rFonts w:hint="eastAsia" w:ascii="宋体" w:hAnsi="宋体"/>
          <w:sz w:val="24"/>
        </w:rPr>
        <w:t xml:space="preserve">    11.1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440" w:lineRule="exact"/>
        <w:rPr>
          <w:rFonts w:hint="eastAsia" w:ascii="宋体" w:hAnsi="宋体"/>
          <w:sz w:val="24"/>
        </w:rPr>
      </w:pPr>
      <w:r>
        <w:rPr>
          <w:rFonts w:hint="eastAsia" w:ascii="宋体" w:hAnsi="宋体"/>
          <w:sz w:val="24"/>
        </w:rPr>
        <w:t xml:space="preserve">    11.1.1如果乙方未能在合同规定的期限内或双方另行确定的延期交货时间内交付合同约定的货物。</w:t>
      </w:r>
    </w:p>
    <w:p>
      <w:pPr>
        <w:spacing w:line="440" w:lineRule="exact"/>
        <w:rPr>
          <w:rFonts w:hint="eastAsia" w:ascii="宋体" w:hAnsi="宋体"/>
          <w:sz w:val="24"/>
        </w:rPr>
      </w:pPr>
      <w:r>
        <w:rPr>
          <w:rFonts w:hint="eastAsia" w:ascii="宋体" w:hAnsi="宋体"/>
          <w:sz w:val="24"/>
        </w:rPr>
        <w:t xml:space="preserve">    11.1.2乙方未能履行合同项下的任何其他义务。</w:t>
      </w:r>
    </w:p>
    <w:p>
      <w:pPr>
        <w:spacing w:line="440" w:lineRule="exact"/>
        <w:ind w:firstLine="120" w:firstLineChars="50"/>
        <w:rPr>
          <w:rFonts w:hint="eastAsia" w:ascii="宋体" w:hAnsi="宋体"/>
          <w:sz w:val="24"/>
        </w:rPr>
      </w:pPr>
      <w:r>
        <w:rPr>
          <w:rFonts w:hint="eastAsia" w:ascii="宋体" w:hAnsi="宋体"/>
          <w:sz w:val="24"/>
        </w:rPr>
        <w:t>12、不可抗力</w:t>
      </w:r>
    </w:p>
    <w:p>
      <w:pPr>
        <w:spacing w:line="440" w:lineRule="exact"/>
        <w:ind w:firstLine="480" w:firstLineChars="200"/>
        <w:rPr>
          <w:rFonts w:hint="eastAsia" w:ascii="宋体" w:hAnsi="宋体"/>
          <w:sz w:val="24"/>
        </w:rPr>
      </w:pPr>
      <w:r>
        <w:rPr>
          <w:rFonts w:hint="eastAsia" w:ascii="宋体" w:hAnsi="宋体"/>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440" w:lineRule="exact"/>
        <w:ind w:firstLine="600" w:firstLineChars="250"/>
        <w:rPr>
          <w:rFonts w:hint="eastAsia" w:ascii="宋体" w:hAnsi="宋体"/>
          <w:sz w:val="24"/>
        </w:rPr>
      </w:pPr>
      <w:r>
        <w:rPr>
          <w:rFonts w:hint="eastAsia" w:ascii="宋体" w:hAnsi="宋体"/>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440" w:lineRule="exact"/>
        <w:ind w:firstLine="120" w:firstLineChars="50"/>
        <w:rPr>
          <w:rFonts w:hint="eastAsia" w:ascii="宋体" w:hAnsi="宋体"/>
          <w:sz w:val="24"/>
        </w:rPr>
      </w:pPr>
      <w:r>
        <w:rPr>
          <w:rFonts w:hint="eastAsia" w:ascii="宋体" w:hAnsi="宋体"/>
          <w:sz w:val="24"/>
        </w:rPr>
        <w:t>13、合同纠纷处理方式：因本合同或与本合同有关的一切事项发生争议，由双方友好协商解决。协商不成的，任何一方均可选择以下任一方式解决：</w:t>
      </w:r>
    </w:p>
    <w:p>
      <w:pPr>
        <w:spacing w:line="440" w:lineRule="exact"/>
        <w:rPr>
          <w:rFonts w:hint="eastAsia"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 xml:space="preserve">）向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仲裁委员会申请仲裁；</w:t>
      </w:r>
    </w:p>
    <w:p>
      <w:pPr>
        <w:spacing w:line="440" w:lineRule="exact"/>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）向有管辖权的人民法院提起诉讼。</w:t>
      </w:r>
    </w:p>
    <w:p>
      <w:pPr>
        <w:spacing w:line="440" w:lineRule="exact"/>
        <w:ind w:firstLine="120" w:firstLineChars="50"/>
        <w:rPr>
          <w:rFonts w:hint="eastAsia" w:ascii="宋体" w:hAnsi="宋体"/>
          <w:sz w:val="24"/>
        </w:rPr>
      </w:pPr>
      <w:r>
        <w:rPr>
          <w:rFonts w:hint="eastAsia" w:ascii="宋体" w:hAnsi="宋体"/>
          <w:sz w:val="24"/>
        </w:rPr>
        <w:t>14、其他约定</w:t>
      </w:r>
    </w:p>
    <w:p>
      <w:pPr>
        <w:spacing w:line="440" w:lineRule="exact"/>
        <w:ind w:firstLine="600" w:firstLineChars="250"/>
        <w:rPr>
          <w:rFonts w:hint="eastAsia" w:ascii="宋体" w:hAnsi="宋体"/>
          <w:sz w:val="24"/>
        </w:rPr>
      </w:pPr>
      <w:r>
        <w:rPr>
          <w:rFonts w:hint="eastAsia" w:ascii="宋体" w:hAnsi="宋体"/>
          <w:sz w:val="24"/>
        </w:rPr>
        <w:t>14.1本采购项目的招标文件、中标人的投标文件以及相关的澄清确认函（如果有的话）均为本合同不可分割的一部分，与本合同具有同等法律效力。</w:t>
      </w:r>
    </w:p>
    <w:p>
      <w:pPr>
        <w:spacing w:line="440" w:lineRule="exact"/>
        <w:rPr>
          <w:rFonts w:hint="eastAsia" w:ascii="宋体" w:hAnsi="宋体"/>
          <w:sz w:val="24"/>
        </w:rPr>
      </w:pPr>
      <w:r>
        <w:rPr>
          <w:rFonts w:hint="eastAsia" w:ascii="宋体" w:hAnsi="宋体"/>
          <w:sz w:val="24"/>
        </w:rPr>
        <w:t xml:space="preserve">     14.2本合同未尽事宜，双方另行补充。</w:t>
      </w:r>
    </w:p>
    <w:p>
      <w:pPr>
        <w:spacing w:line="440" w:lineRule="exact"/>
        <w:rPr>
          <w:rFonts w:hint="eastAsia" w:ascii="宋体" w:hAnsi="宋体"/>
          <w:sz w:val="24"/>
        </w:rPr>
      </w:pPr>
      <w:r>
        <w:rPr>
          <w:rFonts w:hint="eastAsia" w:ascii="宋体" w:hAnsi="宋体"/>
          <w:sz w:val="24"/>
        </w:rPr>
        <w:t xml:space="preserve">     14.3本合同一式六份，经双方授权代表签字并加盖公章后生效。甲方执三份、乙方执一份，送厦门市政府采购管理办公室、招标代理机构各备案一份，具有同等效力。</w:t>
      </w: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highlight w:val="yellow"/>
        </w:rPr>
      </w:pPr>
      <w:r>
        <w:rPr>
          <w:rFonts w:hint="eastAsia" w:ascii="宋体" w:hAnsi="宋体"/>
          <w:sz w:val="24"/>
        </w:rPr>
        <w:t>甲    方：</w:t>
      </w:r>
      <w:r>
        <w:rPr>
          <w:rFonts w:hint="eastAsia" w:ascii="宋体" w:hAnsi="宋体"/>
          <w:sz w:val="24"/>
          <w:lang w:val="en-US" w:eastAsia="zh-CN"/>
        </w:rPr>
        <w:t xml:space="preserve">            </w:t>
      </w:r>
      <w:r>
        <w:rPr>
          <w:rFonts w:hint="eastAsia" w:ascii="宋体" w:hAnsi="宋体"/>
          <w:sz w:val="24"/>
        </w:rPr>
        <w:t xml:space="preserve">                乙    方：</w:t>
      </w:r>
    </w:p>
    <w:p>
      <w:pPr>
        <w:spacing w:line="440" w:lineRule="exact"/>
        <w:rPr>
          <w:rFonts w:hint="eastAsia" w:ascii="宋体" w:hAnsi="宋体"/>
          <w:sz w:val="24"/>
        </w:rPr>
      </w:pPr>
      <w:r>
        <w:rPr>
          <w:rFonts w:hint="eastAsia" w:ascii="宋体" w:hAnsi="宋体"/>
          <w:sz w:val="24"/>
        </w:rPr>
        <w:t>单位地址：                            单位地址：</w:t>
      </w:r>
    </w:p>
    <w:p>
      <w:pPr>
        <w:spacing w:line="440" w:lineRule="exact"/>
        <w:rPr>
          <w:rFonts w:hint="eastAsia" w:ascii="宋体" w:hAnsi="宋体"/>
          <w:sz w:val="24"/>
        </w:rPr>
      </w:pPr>
      <w:r>
        <w:rPr>
          <w:rFonts w:hint="eastAsia" w:ascii="宋体" w:hAnsi="宋体"/>
          <w:sz w:val="24"/>
        </w:rPr>
        <w:t>法定代表人：                          法定代表人：</w:t>
      </w:r>
    </w:p>
    <w:p>
      <w:pPr>
        <w:spacing w:line="440" w:lineRule="exact"/>
        <w:rPr>
          <w:rFonts w:hint="eastAsia" w:ascii="宋体" w:hAnsi="宋体"/>
          <w:sz w:val="24"/>
        </w:rPr>
      </w:pPr>
      <w:r>
        <w:rPr>
          <w:rFonts w:hint="eastAsia" w:ascii="宋体" w:hAnsi="宋体"/>
          <w:sz w:val="24"/>
        </w:rPr>
        <w:t>委托代理人：                          委托代理人：</w:t>
      </w:r>
    </w:p>
    <w:p>
      <w:pPr>
        <w:spacing w:line="440" w:lineRule="exact"/>
        <w:rPr>
          <w:rFonts w:hint="eastAsia" w:ascii="宋体" w:hAnsi="宋体"/>
          <w:sz w:val="24"/>
        </w:rPr>
      </w:pPr>
      <w:r>
        <w:rPr>
          <w:rFonts w:hint="eastAsia" w:ascii="宋体" w:hAnsi="宋体"/>
          <w:sz w:val="24"/>
        </w:rPr>
        <w:t>电    话：                            电    话：</w:t>
      </w:r>
    </w:p>
    <w:p>
      <w:pPr>
        <w:spacing w:line="440" w:lineRule="exact"/>
        <w:rPr>
          <w:rFonts w:hint="eastAsia" w:ascii="宋体" w:hAnsi="宋体"/>
          <w:sz w:val="24"/>
        </w:rPr>
      </w:pPr>
      <w:r>
        <w:rPr>
          <w:rFonts w:hint="eastAsia" w:ascii="宋体" w:hAnsi="宋体"/>
          <w:sz w:val="24"/>
        </w:rPr>
        <w:t>开户银行：                            开户银行：</w:t>
      </w:r>
    </w:p>
    <w:p>
      <w:pPr>
        <w:spacing w:line="440" w:lineRule="exact"/>
        <w:rPr>
          <w:rFonts w:hint="eastAsia" w:ascii="宋体" w:hAnsi="宋体"/>
          <w:sz w:val="24"/>
        </w:rPr>
      </w:pPr>
      <w:r>
        <w:rPr>
          <w:rFonts w:hint="eastAsia" w:ascii="宋体" w:hAnsi="宋体"/>
          <w:sz w:val="24"/>
        </w:rPr>
        <w:t>账    号：                            账    号：</w:t>
      </w:r>
    </w:p>
    <w:p>
      <w:pPr>
        <w:rPr>
          <w:rFonts w:hint="eastAsia"/>
          <w:sz w:val="24"/>
        </w:rPr>
      </w:pPr>
    </w:p>
    <w:p>
      <w:pPr>
        <w:ind w:firstLine="2760" w:firstLineChars="1150"/>
        <w:rPr>
          <w:rFonts w:hint="eastAsia"/>
          <w:sz w:val="24"/>
        </w:rPr>
      </w:pPr>
      <w:r>
        <w:rPr>
          <w:rFonts w:hint="eastAsia"/>
          <w:sz w:val="24"/>
        </w:rPr>
        <w:t>签订日期：</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color w:val="000000"/>
          <w:sz w:val="21"/>
          <w:szCs w:val="21"/>
        </w:rPr>
      </w:pPr>
      <w:r>
        <w:rPr>
          <w:rFonts w:hint="eastAsia" w:ascii="宋体" w:hAnsi="宋体" w:eastAsia="宋体" w:cs="宋体"/>
          <w:sz w:val="21"/>
          <w:szCs w:val="21"/>
        </w:rPr>
        <w:br w:type="page"/>
      </w:r>
    </w:p>
    <w:p>
      <w:pPr>
        <w:pStyle w:val="7"/>
        <w:spacing w:before="120" w:after="120" w:line="400" w:lineRule="exact"/>
        <w:jc w:val="center"/>
        <w:rPr>
          <w:rFonts w:hint="eastAsia" w:ascii="宋体" w:hAnsi="宋体"/>
          <w:sz w:val="32"/>
          <w:szCs w:val="32"/>
        </w:rPr>
      </w:pPr>
      <w:bookmarkStart w:id="297" w:name="_Toc23573"/>
      <w:bookmarkStart w:id="298" w:name="_Toc25567_WPSOffice_Level1"/>
      <w:bookmarkStart w:id="299" w:name="_Toc27627"/>
      <w:bookmarkStart w:id="300" w:name="_Toc25235"/>
      <w:r>
        <w:rPr>
          <w:rFonts w:hint="eastAsia" w:ascii="宋体" w:hAnsi="宋体"/>
          <w:sz w:val="32"/>
          <w:szCs w:val="32"/>
        </w:rPr>
        <w:t>第五章  工程量清单</w:t>
      </w:r>
      <w:bookmarkEnd w:id="297"/>
      <w:bookmarkEnd w:id="298"/>
      <w:bookmarkEnd w:id="299"/>
      <w:bookmarkEnd w:id="300"/>
    </w:p>
    <w:p>
      <w:pPr>
        <w:bidi w:val="0"/>
        <w:rPr>
          <w:rFonts w:hint="eastAsia" w:eastAsia="宋体"/>
          <w:lang w:eastAsia="zh-CN"/>
        </w:rPr>
      </w:pPr>
      <w:r>
        <w:rPr>
          <w:rFonts w:hint="eastAsia" w:eastAsia="宋体"/>
          <w:lang w:eastAsia="zh-CN"/>
        </w:rPr>
        <w:drawing>
          <wp:inline distT="0" distB="0" distL="114300" distR="114300">
            <wp:extent cx="5913755" cy="8366125"/>
            <wp:effectExtent l="0" t="0" r="10795" b="15875"/>
            <wp:docPr id="5" name="图片 5" descr="一标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一标段 (4)"/>
                    <pic:cNvPicPr>
                      <a:picLocks noChangeAspect="1"/>
                    </pic:cNvPicPr>
                  </pic:nvPicPr>
                  <pic:blipFill>
                    <a:blip r:embed="rId10"/>
                    <a:stretch>
                      <a:fillRect/>
                    </a:stretch>
                  </pic:blipFill>
                  <pic:spPr>
                    <a:xfrm>
                      <a:off x="0" y="0"/>
                      <a:ext cx="5913755" cy="8366125"/>
                    </a:xfrm>
                    <a:prstGeom prst="rect">
                      <a:avLst/>
                    </a:prstGeom>
                  </pic:spPr>
                </pic:pic>
              </a:graphicData>
            </a:graphic>
          </wp:inline>
        </w:drawing>
      </w:r>
      <w:r>
        <w:rPr>
          <w:rFonts w:hint="eastAsia" w:eastAsia="宋体"/>
          <w:lang w:eastAsia="zh-CN"/>
        </w:rPr>
        <w:drawing>
          <wp:inline distT="0" distB="0" distL="114300" distR="114300">
            <wp:extent cx="5913755" cy="8366125"/>
            <wp:effectExtent l="0" t="0" r="10795" b="15875"/>
            <wp:docPr id="4" name="图片 4" descr="一标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一标段 (5)"/>
                    <pic:cNvPicPr>
                      <a:picLocks noChangeAspect="1"/>
                    </pic:cNvPicPr>
                  </pic:nvPicPr>
                  <pic:blipFill>
                    <a:blip r:embed="rId11"/>
                    <a:stretch>
                      <a:fillRect/>
                    </a:stretch>
                  </pic:blipFill>
                  <pic:spPr>
                    <a:xfrm>
                      <a:off x="0" y="0"/>
                      <a:ext cx="5913755" cy="8366125"/>
                    </a:xfrm>
                    <a:prstGeom prst="rect">
                      <a:avLst/>
                    </a:prstGeom>
                  </pic:spPr>
                </pic:pic>
              </a:graphicData>
            </a:graphic>
          </wp:inline>
        </w:drawing>
      </w:r>
      <w:r>
        <w:rPr>
          <w:rFonts w:hint="eastAsia" w:eastAsia="宋体"/>
          <w:lang w:eastAsia="zh-CN"/>
        </w:rPr>
        <w:drawing>
          <wp:inline distT="0" distB="0" distL="114300" distR="114300">
            <wp:extent cx="5913755" cy="8366125"/>
            <wp:effectExtent l="0" t="0" r="10795" b="15875"/>
            <wp:docPr id="3" name="图片 3" descr="一标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一标段 (6)"/>
                    <pic:cNvPicPr>
                      <a:picLocks noChangeAspect="1"/>
                    </pic:cNvPicPr>
                  </pic:nvPicPr>
                  <pic:blipFill>
                    <a:blip r:embed="rId12"/>
                    <a:stretch>
                      <a:fillRect/>
                    </a:stretch>
                  </pic:blipFill>
                  <pic:spPr>
                    <a:xfrm>
                      <a:off x="0" y="0"/>
                      <a:ext cx="5913755" cy="8366125"/>
                    </a:xfrm>
                    <a:prstGeom prst="rect">
                      <a:avLst/>
                    </a:prstGeom>
                  </pic:spPr>
                </pic:pic>
              </a:graphicData>
            </a:graphic>
          </wp:inline>
        </w:drawing>
      </w:r>
    </w:p>
    <w:p>
      <w:pPr>
        <w:rPr>
          <w:rFonts w:hint="eastAsia"/>
        </w:rPr>
      </w:pPr>
      <w:r>
        <w:rPr>
          <w:rFonts w:hint="eastAsia"/>
        </w:rPr>
        <w:br w:type="page"/>
      </w:r>
    </w:p>
    <w:p>
      <w:pPr>
        <w:pStyle w:val="7"/>
        <w:bidi w:val="0"/>
        <w:rPr>
          <w:rFonts w:hint="eastAsia"/>
        </w:rPr>
      </w:pPr>
      <w:bookmarkStart w:id="301" w:name="_Toc10087"/>
      <w:bookmarkStart w:id="302" w:name="_Toc119784540"/>
      <w:r>
        <w:rPr>
          <w:rFonts w:hint="eastAsia"/>
        </w:rPr>
        <w:t>第六章  技术标准和要求</w:t>
      </w:r>
      <w:bookmarkEnd w:id="301"/>
      <w:bookmarkEnd w:id="302"/>
    </w:p>
    <w:p>
      <w:pPr>
        <w:bidi w:val="0"/>
        <w:rPr>
          <w:rFonts w:hint="eastAsia"/>
        </w:rPr>
      </w:pPr>
    </w:p>
    <w:p>
      <w:pPr>
        <w:pStyle w:val="22"/>
        <w:spacing w:line="360" w:lineRule="auto"/>
        <w:rPr>
          <w:rFonts w:ascii="宋体" w:hAnsi="宋体"/>
          <w:sz w:val="24"/>
        </w:rPr>
      </w:pPr>
      <w:r>
        <w:rPr>
          <w:rFonts w:hint="eastAsia" w:ascii="宋体" w:hAnsi="宋体"/>
          <w:sz w:val="24"/>
        </w:rPr>
        <w:t>一、采购标的需执行的国家相关标准、行业标准、地方标准或者其他标准、规范：</w:t>
      </w:r>
    </w:p>
    <w:p>
      <w:pPr>
        <w:pStyle w:val="22"/>
        <w:spacing w:line="360" w:lineRule="auto"/>
        <w:rPr>
          <w:rFonts w:hint="eastAsia" w:ascii="宋体" w:hAnsi="宋体" w:eastAsia="宋体"/>
          <w:sz w:val="24"/>
          <w:lang w:eastAsia="zh-CN"/>
        </w:rPr>
      </w:pPr>
      <w:r>
        <w:rPr>
          <w:rFonts w:hint="eastAsia" w:ascii="宋体" w:hAnsi="宋体"/>
          <w:sz w:val="24"/>
        </w:rPr>
        <w:t>1、有机肥执行标准 NY</w:t>
      </w:r>
      <w:r>
        <w:rPr>
          <w:rFonts w:hint="eastAsia" w:ascii="宋体" w:hAnsi="宋体"/>
          <w:sz w:val="24"/>
          <w:lang w:val="en-US" w:eastAsia="zh-CN"/>
        </w:rPr>
        <w:t>/T</w:t>
      </w:r>
      <w:r>
        <w:rPr>
          <w:rFonts w:hint="eastAsia" w:ascii="宋体" w:hAnsi="宋体"/>
          <w:sz w:val="24"/>
        </w:rPr>
        <w:t>525-20</w:t>
      </w:r>
      <w:r>
        <w:rPr>
          <w:rFonts w:hint="eastAsia" w:ascii="宋体" w:hAnsi="宋体"/>
          <w:sz w:val="24"/>
          <w:lang w:val="en-US" w:eastAsia="zh-CN"/>
        </w:rPr>
        <w:t>21</w:t>
      </w:r>
      <w:r>
        <w:rPr>
          <w:rFonts w:hint="eastAsia" w:ascii="宋体" w:hAnsi="宋体"/>
          <w:sz w:val="24"/>
        </w:rPr>
        <w:t>。</w:t>
      </w:r>
    </w:p>
    <w:p>
      <w:pPr>
        <w:pStyle w:val="22"/>
        <w:spacing w:line="360" w:lineRule="auto"/>
        <w:rPr>
          <w:rFonts w:ascii="宋体" w:hAnsi="宋体"/>
          <w:sz w:val="24"/>
        </w:rPr>
      </w:pPr>
      <w:r>
        <w:rPr>
          <w:rFonts w:hint="eastAsia" w:ascii="宋体" w:hAnsi="宋体"/>
          <w:sz w:val="24"/>
        </w:rPr>
        <w:t>2、产品包装应符合国家要求，并有产品批号，外包装不得夸大宣传。</w:t>
      </w:r>
    </w:p>
    <w:p>
      <w:pPr>
        <w:pStyle w:val="22"/>
        <w:spacing w:line="360" w:lineRule="auto"/>
        <w:rPr>
          <w:rFonts w:ascii="宋体" w:hAnsi="宋体"/>
          <w:sz w:val="24"/>
        </w:rPr>
      </w:pPr>
      <w:r>
        <w:rPr>
          <w:rFonts w:hint="eastAsia" w:ascii="宋体" w:hAnsi="宋体"/>
          <w:sz w:val="24"/>
        </w:rPr>
        <w:t>二、采购标的的详细技术指标及数量要求：</w:t>
      </w:r>
    </w:p>
    <w:p>
      <w:pPr>
        <w:pStyle w:val="22"/>
        <w:spacing w:line="360" w:lineRule="auto"/>
        <w:rPr>
          <w:rFonts w:ascii="宋体" w:hAnsi="宋体"/>
          <w:sz w:val="24"/>
        </w:rPr>
      </w:pPr>
      <w:r>
        <w:rPr>
          <w:rFonts w:hint="eastAsia" w:ascii="宋体" w:hAnsi="宋体"/>
          <w:sz w:val="24"/>
        </w:rPr>
        <w:t>1、技术规格及参数</w:t>
      </w:r>
    </w:p>
    <w:tbl>
      <w:tblPr>
        <w:tblStyle w:val="17"/>
        <w:tblW w:w="91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35"/>
        <w:gridCol w:w="4399"/>
        <w:gridCol w:w="1946"/>
        <w:gridCol w:w="1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1335" w:type="dxa"/>
            <w:noWrap w:val="0"/>
            <w:vAlign w:val="top"/>
          </w:tcPr>
          <w:p>
            <w:pPr>
              <w:pStyle w:val="22"/>
              <w:spacing w:line="360" w:lineRule="auto"/>
              <w:jc w:val="center"/>
              <w:rPr>
                <w:rFonts w:ascii="宋体" w:hAnsi="宋体"/>
                <w:b/>
                <w:bCs/>
                <w:sz w:val="24"/>
              </w:rPr>
            </w:pPr>
            <w:r>
              <w:rPr>
                <w:rFonts w:hint="eastAsia" w:ascii="宋体" w:hAnsi="宋体"/>
                <w:b/>
                <w:bCs/>
                <w:sz w:val="24"/>
              </w:rPr>
              <w:t>采购内容</w:t>
            </w:r>
          </w:p>
        </w:tc>
        <w:tc>
          <w:tcPr>
            <w:tcW w:w="7807" w:type="dxa"/>
            <w:gridSpan w:val="3"/>
            <w:noWrap w:val="0"/>
            <w:vAlign w:val="top"/>
          </w:tcPr>
          <w:p>
            <w:pPr>
              <w:pStyle w:val="22"/>
              <w:spacing w:line="360" w:lineRule="auto"/>
              <w:jc w:val="center"/>
              <w:rPr>
                <w:rFonts w:ascii="宋体" w:hAnsi="宋体"/>
                <w:b/>
                <w:bCs/>
                <w:sz w:val="24"/>
              </w:rPr>
            </w:pPr>
            <w:r>
              <w:rPr>
                <w:rFonts w:hint="eastAsia" w:ascii="宋体" w:hAnsi="宋体"/>
                <w:b/>
                <w:bCs/>
                <w:sz w:val="24"/>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1335" w:type="dxa"/>
            <w:vMerge w:val="restart"/>
            <w:noWrap w:val="0"/>
            <w:vAlign w:val="top"/>
          </w:tcPr>
          <w:p>
            <w:pPr>
              <w:pStyle w:val="22"/>
              <w:spacing w:line="240" w:lineRule="auto"/>
              <w:rPr>
                <w:rFonts w:ascii="宋体" w:hAnsi="宋体"/>
                <w:sz w:val="24"/>
              </w:rPr>
            </w:pPr>
            <w:r>
              <w:rPr>
                <w:rFonts w:hint="eastAsia" w:ascii="宋体" w:hAnsi="宋体"/>
                <w:sz w:val="24"/>
              </w:rPr>
              <w:t>有机肥</w:t>
            </w:r>
          </w:p>
        </w:tc>
        <w:tc>
          <w:tcPr>
            <w:tcW w:w="4399" w:type="dxa"/>
            <w:noWrap w:val="0"/>
            <w:vAlign w:val="top"/>
          </w:tcPr>
          <w:p>
            <w:pPr>
              <w:pStyle w:val="22"/>
              <w:spacing w:line="240" w:lineRule="auto"/>
              <w:jc w:val="center"/>
              <w:rPr>
                <w:rFonts w:ascii="宋体" w:hAnsi="宋体"/>
                <w:sz w:val="24"/>
              </w:rPr>
            </w:pPr>
            <w:r>
              <w:rPr>
                <w:rFonts w:hint="eastAsia" w:ascii="宋体" w:hAnsi="宋体"/>
                <w:sz w:val="24"/>
              </w:rPr>
              <w:t>项目</w:t>
            </w:r>
          </w:p>
        </w:tc>
        <w:tc>
          <w:tcPr>
            <w:tcW w:w="1946" w:type="dxa"/>
            <w:noWrap w:val="0"/>
            <w:vAlign w:val="top"/>
          </w:tcPr>
          <w:p>
            <w:pPr>
              <w:pStyle w:val="22"/>
              <w:spacing w:line="240" w:lineRule="auto"/>
              <w:rPr>
                <w:rFonts w:ascii="宋体" w:hAnsi="宋体"/>
                <w:sz w:val="24"/>
              </w:rPr>
            </w:pPr>
            <w:r>
              <w:rPr>
                <w:rFonts w:hint="eastAsia" w:ascii="宋体" w:hAnsi="宋体"/>
                <w:sz w:val="24"/>
              </w:rPr>
              <w:t>技术要求</w:t>
            </w:r>
          </w:p>
        </w:tc>
        <w:tc>
          <w:tcPr>
            <w:tcW w:w="1462" w:type="dxa"/>
            <w:vMerge w:val="restart"/>
            <w:noWrap w:val="0"/>
            <w:vAlign w:val="top"/>
          </w:tcPr>
          <w:p>
            <w:pPr>
              <w:pStyle w:val="22"/>
              <w:spacing w:line="360" w:lineRule="auto"/>
              <w:rPr>
                <w:rFonts w:hint="eastAsia" w:ascii="宋体" w:hAnsi="宋体"/>
                <w:sz w:val="24"/>
              </w:rPr>
            </w:pPr>
            <w:r>
              <w:rPr>
                <w:rFonts w:hint="eastAsia" w:ascii="宋体" w:hAnsi="宋体"/>
                <w:sz w:val="24"/>
              </w:rPr>
              <w:t>颗粒状,</w:t>
            </w:r>
          </w:p>
          <w:p>
            <w:pPr>
              <w:pStyle w:val="22"/>
              <w:spacing w:line="360" w:lineRule="auto"/>
              <w:rPr>
                <w:rFonts w:hint="eastAsia" w:ascii="宋体" w:hAnsi="宋体"/>
                <w:sz w:val="24"/>
              </w:rPr>
            </w:pPr>
            <w:r>
              <w:rPr>
                <w:rFonts w:hint="eastAsia" w:ascii="宋体" w:hAnsi="宋体"/>
                <w:sz w:val="24"/>
              </w:rPr>
              <w:t>40公斤/袋</w:t>
            </w:r>
          </w:p>
          <w:p>
            <w:pPr>
              <w:pStyle w:val="22"/>
              <w:spacing w:line="360" w:lineRule="auto"/>
              <w:rPr>
                <w:rFonts w:hint="eastAsia" w:ascii="宋体" w:hAnsi="宋体" w:eastAsia="宋体"/>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335" w:type="dxa"/>
            <w:vMerge w:val="continue"/>
            <w:noWrap w:val="0"/>
            <w:vAlign w:val="top"/>
          </w:tcPr>
          <w:p>
            <w:pPr>
              <w:pStyle w:val="22"/>
              <w:spacing w:line="240" w:lineRule="auto"/>
              <w:rPr>
                <w:rFonts w:ascii="宋体" w:hAnsi="宋体"/>
                <w:sz w:val="24"/>
              </w:rPr>
            </w:pPr>
          </w:p>
        </w:tc>
        <w:tc>
          <w:tcPr>
            <w:tcW w:w="4399" w:type="dxa"/>
            <w:noWrap w:val="0"/>
            <w:vAlign w:val="top"/>
          </w:tcPr>
          <w:p>
            <w:pPr>
              <w:pStyle w:val="22"/>
              <w:spacing w:line="240" w:lineRule="auto"/>
              <w:rPr>
                <w:rFonts w:ascii="宋体" w:hAnsi="宋体"/>
                <w:sz w:val="24"/>
              </w:rPr>
            </w:pPr>
            <w:r>
              <w:rPr>
                <w:rFonts w:hint="eastAsia" w:ascii="宋体" w:hAnsi="宋体"/>
                <w:sz w:val="24"/>
              </w:rPr>
              <w:t>★有机质的质量分数（以烘干基计）</w:t>
            </w:r>
          </w:p>
        </w:tc>
        <w:tc>
          <w:tcPr>
            <w:tcW w:w="1946" w:type="dxa"/>
            <w:noWrap w:val="0"/>
            <w:vAlign w:val="top"/>
          </w:tcPr>
          <w:p>
            <w:pPr>
              <w:pStyle w:val="22"/>
              <w:spacing w:line="240" w:lineRule="auto"/>
              <w:rPr>
                <w:rFonts w:ascii="宋体" w:hAnsi="宋体"/>
                <w:sz w:val="24"/>
              </w:rPr>
            </w:pPr>
            <w:r>
              <w:rPr>
                <w:rFonts w:hint="eastAsia" w:ascii="宋体" w:hAnsi="宋体"/>
                <w:sz w:val="24"/>
              </w:rPr>
              <w:t>≥</w:t>
            </w:r>
            <w:r>
              <w:rPr>
                <w:rFonts w:hint="eastAsia" w:ascii="宋体" w:hAnsi="宋体"/>
                <w:sz w:val="24"/>
                <w:lang w:val="en-US" w:eastAsia="zh-CN"/>
              </w:rPr>
              <w:t>30</w:t>
            </w:r>
            <w:r>
              <w:rPr>
                <w:rFonts w:hint="eastAsia" w:ascii="宋体" w:hAnsi="宋体"/>
                <w:sz w:val="24"/>
              </w:rPr>
              <w:t>%</w:t>
            </w:r>
          </w:p>
        </w:tc>
        <w:tc>
          <w:tcPr>
            <w:tcW w:w="1462" w:type="dxa"/>
            <w:vMerge w:val="continue"/>
            <w:noWrap w:val="0"/>
            <w:vAlign w:val="top"/>
          </w:tcPr>
          <w:p>
            <w:pPr>
              <w:pStyle w:val="22"/>
              <w:spacing w:line="360" w:lineRule="auto"/>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1335" w:type="dxa"/>
            <w:vMerge w:val="continue"/>
            <w:noWrap w:val="0"/>
            <w:vAlign w:val="top"/>
          </w:tcPr>
          <w:p>
            <w:pPr>
              <w:pStyle w:val="22"/>
              <w:spacing w:line="240" w:lineRule="auto"/>
              <w:rPr>
                <w:rFonts w:ascii="宋体" w:hAnsi="宋体"/>
                <w:sz w:val="24"/>
              </w:rPr>
            </w:pPr>
          </w:p>
        </w:tc>
        <w:tc>
          <w:tcPr>
            <w:tcW w:w="4399" w:type="dxa"/>
            <w:noWrap w:val="0"/>
            <w:vAlign w:val="top"/>
          </w:tcPr>
          <w:p>
            <w:pPr>
              <w:pStyle w:val="22"/>
              <w:spacing w:line="240" w:lineRule="auto"/>
              <w:rPr>
                <w:rFonts w:ascii="宋体" w:hAnsi="宋体"/>
                <w:sz w:val="24"/>
              </w:rPr>
            </w:pPr>
            <w:r>
              <w:rPr>
                <w:rFonts w:hint="eastAsia" w:ascii="宋体" w:hAnsi="宋体"/>
                <w:sz w:val="24"/>
              </w:rPr>
              <w:t>★总养分（氮+五氧化二磷+氧化钾）的质量分数（以烘干基计）</w:t>
            </w:r>
          </w:p>
        </w:tc>
        <w:tc>
          <w:tcPr>
            <w:tcW w:w="1946" w:type="dxa"/>
            <w:noWrap w:val="0"/>
            <w:vAlign w:val="top"/>
          </w:tcPr>
          <w:p>
            <w:pPr>
              <w:pStyle w:val="22"/>
              <w:spacing w:line="240" w:lineRule="auto"/>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w:t>
            </w:r>
          </w:p>
        </w:tc>
        <w:tc>
          <w:tcPr>
            <w:tcW w:w="1462" w:type="dxa"/>
            <w:vMerge w:val="continue"/>
            <w:noWrap w:val="0"/>
            <w:vAlign w:val="top"/>
          </w:tcPr>
          <w:p>
            <w:pPr>
              <w:pStyle w:val="22"/>
              <w:spacing w:line="360" w:lineRule="auto"/>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335" w:type="dxa"/>
            <w:vMerge w:val="continue"/>
            <w:noWrap w:val="0"/>
            <w:vAlign w:val="top"/>
          </w:tcPr>
          <w:p>
            <w:pPr>
              <w:pStyle w:val="22"/>
              <w:spacing w:line="240" w:lineRule="auto"/>
              <w:rPr>
                <w:rFonts w:ascii="宋体" w:hAnsi="宋体"/>
                <w:sz w:val="24"/>
              </w:rPr>
            </w:pPr>
          </w:p>
        </w:tc>
        <w:tc>
          <w:tcPr>
            <w:tcW w:w="4399" w:type="dxa"/>
            <w:noWrap w:val="0"/>
            <w:vAlign w:val="top"/>
          </w:tcPr>
          <w:p>
            <w:pPr>
              <w:pStyle w:val="22"/>
              <w:spacing w:line="240" w:lineRule="auto"/>
              <w:rPr>
                <w:rFonts w:ascii="宋体" w:hAnsi="宋体"/>
                <w:sz w:val="24"/>
              </w:rPr>
            </w:pPr>
            <w:r>
              <w:rPr>
                <w:rFonts w:hint="eastAsia" w:ascii="宋体" w:hAnsi="宋体"/>
                <w:sz w:val="24"/>
              </w:rPr>
              <w:t>酸碱度（PH）</w:t>
            </w:r>
          </w:p>
        </w:tc>
        <w:tc>
          <w:tcPr>
            <w:tcW w:w="1946" w:type="dxa"/>
            <w:noWrap w:val="0"/>
            <w:vAlign w:val="top"/>
          </w:tcPr>
          <w:p>
            <w:pPr>
              <w:pStyle w:val="22"/>
              <w:spacing w:line="240" w:lineRule="auto"/>
              <w:rPr>
                <w:rFonts w:ascii="宋体" w:hAnsi="宋体"/>
                <w:sz w:val="24"/>
              </w:rPr>
            </w:pPr>
            <w:r>
              <w:rPr>
                <w:rFonts w:ascii="宋体" w:hAnsi="宋体"/>
                <w:sz w:val="24"/>
              </w:rPr>
              <w:t>5.5-8.5</w:t>
            </w:r>
          </w:p>
        </w:tc>
        <w:tc>
          <w:tcPr>
            <w:tcW w:w="1462" w:type="dxa"/>
            <w:vMerge w:val="continue"/>
            <w:noWrap w:val="0"/>
            <w:vAlign w:val="top"/>
          </w:tcPr>
          <w:p>
            <w:pPr>
              <w:pStyle w:val="22"/>
              <w:spacing w:line="360" w:lineRule="auto"/>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335" w:type="dxa"/>
            <w:vMerge w:val="continue"/>
            <w:noWrap w:val="0"/>
            <w:vAlign w:val="top"/>
          </w:tcPr>
          <w:p>
            <w:pPr>
              <w:pStyle w:val="22"/>
              <w:spacing w:line="240" w:lineRule="auto"/>
              <w:rPr>
                <w:rFonts w:ascii="宋体" w:hAnsi="宋体"/>
                <w:sz w:val="24"/>
              </w:rPr>
            </w:pPr>
          </w:p>
        </w:tc>
        <w:tc>
          <w:tcPr>
            <w:tcW w:w="4399" w:type="dxa"/>
            <w:noWrap w:val="0"/>
            <w:vAlign w:val="top"/>
          </w:tcPr>
          <w:p>
            <w:pPr>
              <w:pStyle w:val="22"/>
              <w:spacing w:line="240" w:lineRule="auto"/>
              <w:rPr>
                <w:rFonts w:ascii="宋体" w:hAnsi="宋体"/>
                <w:sz w:val="24"/>
              </w:rPr>
            </w:pPr>
            <w:r>
              <w:rPr>
                <w:rFonts w:hint="eastAsia" w:ascii="宋体" w:hAnsi="宋体"/>
                <w:sz w:val="24"/>
              </w:rPr>
              <w:t>水分（鲜样）的质量分数</w:t>
            </w:r>
          </w:p>
        </w:tc>
        <w:tc>
          <w:tcPr>
            <w:tcW w:w="1946" w:type="dxa"/>
            <w:noWrap w:val="0"/>
            <w:vAlign w:val="top"/>
          </w:tcPr>
          <w:p>
            <w:pPr>
              <w:pStyle w:val="22"/>
              <w:spacing w:line="240" w:lineRule="auto"/>
              <w:rPr>
                <w:rFonts w:ascii="宋体" w:hAnsi="宋体"/>
                <w:sz w:val="24"/>
              </w:rPr>
            </w:pPr>
            <w:r>
              <w:rPr>
                <w:rFonts w:hint="eastAsia" w:ascii="宋体" w:hAnsi="宋体"/>
                <w:sz w:val="24"/>
              </w:rPr>
              <w:t>≤30%</w:t>
            </w:r>
          </w:p>
        </w:tc>
        <w:tc>
          <w:tcPr>
            <w:tcW w:w="1462" w:type="dxa"/>
            <w:vMerge w:val="continue"/>
            <w:noWrap w:val="0"/>
            <w:vAlign w:val="top"/>
          </w:tcPr>
          <w:p>
            <w:pPr>
              <w:pStyle w:val="22"/>
              <w:spacing w:line="360" w:lineRule="auto"/>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335" w:type="dxa"/>
            <w:vMerge w:val="continue"/>
            <w:noWrap w:val="0"/>
            <w:vAlign w:val="top"/>
          </w:tcPr>
          <w:p>
            <w:pPr>
              <w:pStyle w:val="22"/>
              <w:spacing w:line="240" w:lineRule="auto"/>
              <w:rPr>
                <w:rFonts w:ascii="宋体" w:hAnsi="宋体"/>
                <w:sz w:val="24"/>
              </w:rPr>
            </w:pPr>
          </w:p>
        </w:tc>
        <w:tc>
          <w:tcPr>
            <w:tcW w:w="4399" w:type="dxa"/>
            <w:noWrap w:val="0"/>
            <w:vAlign w:val="top"/>
          </w:tcPr>
          <w:p>
            <w:pPr>
              <w:pStyle w:val="22"/>
              <w:spacing w:line="240" w:lineRule="auto"/>
              <w:rPr>
                <w:rFonts w:ascii="宋体" w:hAnsi="宋体"/>
                <w:sz w:val="24"/>
              </w:rPr>
            </w:pPr>
            <w:r>
              <w:rPr>
                <w:rFonts w:hint="eastAsia" w:ascii="宋体" w:hAnsi="宋体"/>
                <w:sz w:val="24"/>
              </w:rPr>
              <w:t>总砷(As)（以烘干基计）（mg/kg）</w:t>
            </w:r>
          </w:p>
        </w:tc>
        <w:tc>
          <w:tcPr>
            <w:tcW w:w="1946" w:type="dxa"/>
            <w:noWrap w:val="0"/>
            <w:vAlign w:val="top"/>
          </w:tcPr>
          <w:p>
            <w:pPr>
              <w:pStyle w:val="22"/>
              <w:spacing w:line="240" w:lineRule="auto"/>
              <w:rPr>
                <w:rFonts w:ascii="宋体" w:hAnsi="宋体"/>
                <w:sz w:val="24"/>
              </w:rPr>
            </w:pPr>
            <w:r>
              <w:rPr>
                <w:rFonts w:hint="eastAsia" w:ascii="宋体" w:hAnsi="宋体"/>
                <w:sz w:val="24"/>
              </w:rPr>
              <w:t>≤15</w:t>
            </w:r>
          </w:p>
        </w:tc>
        <w:tc>
          <w:tcPr>
            <w:tcW w:w="1462" w:type="dxa"/>
            <w:vMerge w:val="continue"/>
            <w:noWrap w:val="0"/>
            <w:vAlign w:val="top"/>
          </w:tcPr>
          <w:p>
            <w:pPr>
              <w:pStyle w:val="22"/>
              <w:spacing w:line="360" w:lineRule="auto"/>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335" w:type="dxa"/>
            <w:vMerge w:val="continue"/>
            <w:noWrap w:val="0"/>
            <w:vAlign w:val="top"/>
          </w:tcPr>
          <w:p>
            <w:pPr>
              <w:pStyle w:val="22"/>
              <w:spacing w:line="240" w:lineRule="auto"/>
              <w:rPr>
                <w:rFonts w:ascii="宋体" w:hAnsi="宋体"/>
                <w:sz w:val="24"/>
              </w:rPr>
            </w:pPr>
          </w:p>
        </w:tc>
        <w:tc>
          <w:tcPr>
            <w:tcW w:w="4399" w:type="dxa"/>
            <w:noWrap w:val="0"/>
            <w:vAlign w:val="top"/>
          </w:tcPr>
          <w:p>
            <w:pPr>
              <w:pStyle w:val="22"/>
              <w:spacing w:line="240" w:lineRule="auto"/>
              <w:rPr>
                <w:rFonts w:ascii="宋体" w:hAnsi="宋体"/>
                <w:sz w:val="24"/>
              </w:rPr>
            </w:pPr>
            <w:r>
              <w:rPr>
                <w:rFonts w:hint="eastAsia" w:ascii="宋体" w:hAnsi="宋体"/>
                <w:sz w:val="24"/>
              </w:rPr>
              <w:t>总汞（Hg）（以烘干基计）（mg/kg）</w:t>
            </w:r>
          </w:p>
        </w:tc>
        <w:tc>
          <w:tcPr>
            <w:tcW w:w="1946" w:type="dxa"/>
            <w:noWrap w:val="0"/>
            <w:vAlign w:val="top"/>
          </w:tcPr>
          <w:p>
            <w:pPr>
              <w:pStyle w:val="22"/>
              <w:spacing w:line="240" w:lineRule="auto"/>
              <w:rPr>
                <w:rFonts w:ascii="宋体" w:hAnsi="宋体"/>
                <w:sz w:val="24"/>
              </w:rPr>
            </w:pPr>
            <w:r>
              <w:rPr>
                <w:rFonts w:hint="eastAsia" w:ascii="宋体" w:hAnsi="宋体"/>
                <w:sz w:val="24"/>
              </w:rPr>
              <w:t>≤2</w:t>
            </w:r>
          </w:p>
        </w:tc>
        <w:tc>
          <w:tcPr>
            <w:tcW w:w="1462" w:type="dxa"/>
            <w:vMerge w:val="continue"/>
            <w:noWrap w:val="0"/>
            <w:vAlign w:val="top"/>
          </w:tcPr>
          <w:p>
            <w:pPr>
              <w:pStyle w:val="22"/>
              <w:spacing w:line="360" w:lineRule="auto"/>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335" w:type="dxa"/>
            <w:vMerge w:val="continue"/>
            <w:noWrap w:val="0"/>
            <w:vAlign w:val="top"/>
          </w:tcPr>
          <w:p>
            <w:pPr>
              <w:pStyle w:val="22"/>
              <w:spacing w:line="240" w:lineRule="auto"/>
              <w:rPr>
                <w:rFonts w:ascii="宋体" w:hAnsi="宋体"/>
                <w:sz w:val="24"/>
              </w:rPr>
            </w:pPr>
          </w:p>
        </w:tc>
        <w:tc>
          <w:tcPr>
            <w:tcW w:w="4399" w:type="dxa"/>
            <w:noWrap w:val="0"/>
            <w:vAlign w:val="top"/>
          </w:tcPr>
          <w:p>
            <w:pPr>
              <w:pStyle w:val="22"/>
              <w:spacing w:line="240" w:lineRule="auto"/>
              <w:rPr>
                <w:rFonts w:ascii="宋体" w:hAnsi="宋体"/>
                <w:sz w:val="24"/>
              </w:rPr>
            </w:pPr>
            <w:r>
              <w:rPr>
                <w:rFonts w:hint="eastAsia" w:ascii="宋体" w:hAnsi="宋体"/>
                <w:sz w:val="24"/>
              </w:rPr>
              <w:t>总铅（Pb）（以烘干基计）（mg/kg）</w:t>
            </w:r>
          </w:p>
        </w:tc>
        <w:tc>
          <w:tcPr>
            <w:tcW w:w="1946" w:type="dxa"/>
            <w:noWrap w:val="0"/>
            <w:vAlign w:val="top"/>
          </w:tcPr>
          <w:p>
            <w:pPr>
              <w:pStyle w:val="22"/>
              <w:spacing w:line="240" w:lineRule="auto"/>
              <w:rPr>
                <w:rFonts w:ascii="宋体" w:hAnsi="宋体"/>
                <w:sz w:val="24"/>
              </w:rPr>
            </w:pPr>
            <w:r>
              <w:rPr>
                <w:rFonts w:hint="eastAsia" w:ascii="宋体" w:hAnsi="宋体"/>
                <w:sz w:val="24"/>
              </w:rPr>
              <w:t>≤50</w:t>
            </w:r>
          </w:p>
        </w:tc>
        <w:tc>
          <w:tcPr>
            <w:tcW w:w="1462" w:type="dxa"/>
            <w:vMerge w:val="continue"/>
            <w:noWrap w:val="0"/>
            <w:vAlign w:val="top"/>
          </w:tcPr>
          <w:p>
            <w:pPr>
              <w:pStyle w:val="22"/>
              <w:spacing w:line="360" w:lineRule="auto"/>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335" w:type="dxa"/>
            <w:vMerge w:val="continue"/>
            <w:noWrap w:val="0"/>
            <w:vAlign w:val="top"/>
          </w:tcPr>
          <w:p>
            <w:pPr>
              <w:pStyle w:val="22"/>
              <w:spacing w:line="240" w:lineRule="auto"/>
              <w:rPr>
                <w:rFonts w:ascii="宋体" w:hAnsi="宋体"/>
                <w:sz w:val="24"/>
              </w:rPr>
            </w:pPr>
          </w:p>
        </w:tc>
        <w:tc>
          <w:tcPr>
            <w:tcW w:w="4399" w:type="dxa"/>
            <w:noWrap w:val="0"/>
            <w:vAlign w:val="top"/>
          </w:tcPr>
          <w:p>
            <w:pPr>
              <w:pStyle w:val="22"/>
              <w:spacing w:line="240" w:lineRule="auto"/>
              <w:rPr>
                <w:rFonts w:ascii="宋体" w:hAnsi="宋体"/>
                <w:sz w:val="24"/>
              </w:rPr>
            </w:pPr>
            <w:r>
              <w:rPr>
                <w:rFonts w:hint="eastAsia" w:ascii="宋体" w:hAnsi="宋体"/>
                <w:sz w:val="24"/>
              </w:rPr>
              <w:t>总铬（Cr）（以烘干基计）（mg/kg）</w:t>
            </w:r>
          </w:p>
        </w:tc>
        <w:tc>
          <w:tcPr>
            <w:tcW w:w="1946" w:type="dxa"/>
            <w:noWrap w:val="0"/>
            <w:vAlign w:val="top"/>
          </w:tcPr>
          <w:p>
            <w:pPr>
              <w:pStyle w:val="22"/>
              <w:spacing w:line="240" w:lineRule="auto"/>
              <w:rPr>
                <w:rFonts w:ascii="宋体" w:hAnsi="宋体"/>
                <w:sz w:val="24"/>
              </w:rPr>
            </w:pPr>
            <w:r>
              <w:rPr>
                <w:rFonts w:hint="eastAsia" w:ascii="宋体" w:hAnsi="宋体"/>
                <w:sz w:val="24"/>
              </w:rPr>
              <w:t>≤150</w:t>
            </w:r>
          </w:p>
        </w:tc>
        <w:tc>
          <w:tcPr>
            <w:tcW w:w="1462" w:type="dxa"/>
            <w:vMerge w:val="continue"/>
            <w:noWrap w:val="0"/>
            <w:vAlign w:val="top"/>
          </w:tcPr>
          <w:p>
            <w:pPr>
              <w:pStyle w:val="22"/>
              <w:spacing w:line="360" w:lineRule="auto"/>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335" w:type="dxa"/>
            <w:vMerge w:val="continue"/>
            <w:noWrap w:val="0"/>
            <w:vAlign w:val="top"/>
          </w:tcPr>
          <w:p>
            <w:pPr>
              <w:pStyle w:val="22"/>
              <w:spacing w:line="240" w:lineRule="auto"/>
              <w:rPr>
                <w:rFonts w:ascii="宋体" w:hAnsi="宋体"/>
                <w:sz w:val="24"/>
              </w:rPr>
            </w:pPr>
          </w:p>
        </w:tc>
        <w:tc>
          <w:tcPr>
            <w:tcW w:w="4399" w:type="dxa"/>
            <w:noWrap w:val="0"/>
            <w:vAlign w:val="top"/>
          </w:tcPr>
          <w:p>
            <w:pPr>
              <w:pStyle w:val="22"/>
              <w:spacing w:line="240" w:lineRule="auto"/>
              <w:rPr>
                <w:rFonts w:ascii="宋体" w:hAnsi="宋体"/>
                <w:sz w:val="24"/>
              </w:rPr>
            </w:pPr>
            <w:r>
              <w:rPr>
                <w:rFonts w:hint="eastAsia" w:ascii="宋体" w:hAnsi="宋体"/>
                <w:sz w:val="24"/>
              </w:rPr>
              <w:t>总镉（Cd）（以烘干基计）（mg/kg）</w:t>
            </w:r>
          </w:p>
        </w:tc>
        <w:tc>
          <w:tcPr>
            <w:tcW w:w="1946" w:type="dxa"/>
            <w:noWrap w:val="0"/>
            <w:vAlign w:val="top"/>
          </w:tcPr>
          <w:p>
            <w:pPr>
              <w:pStyle w:val="22"/>
              <w:spacing w:line="240" w:lineRule="auto"/>
              <w:rPr>
                <w:rFonts w:ascii="宋体" w:hAnsi="宋体"/>
                <w:sz w:val="24"/>
              </w:rPr>
            </w:pPr>
            <w:r>
              <w:rPr>
                <w:rFonts w:hint="eastAsia" w:ascii="宋体" w:hAnsi="宋体"/>
                <w:sz w:val="24"/>
              </w:rPr>
              <w:t>≤3</w:t>
            </w:r>
          </w:p>
        </w:tc>
        <w:tc>
          <w:tcPr>
            <w:tcW w:w="1462" w:type="dxa"/>
            <w:vMerge w:val="continue"/>
            <w:noWrap w:val="0"/>
            <w:vAlign w:val="top"/>
          </w:tcPr>
          <w:p>
            <w:pPr>
              <w:pStyle w:val="22"/>
              <w:spacing w:line="360" w:lineRule="auto"/>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335" w:type="dxa"/>
            <w:vMerge w:val="continue"/>
            <w:noWrap w:val="0"/>
            <w:vAlign w:val="top"/>
          </w:tcPr>
          <w:p>
            <w:pPr>
              <w:pStyle w:val="22"/>
              <w:spacing w:line="240" w:lineRule="auto"/>
              <w:rPr>
                <w:rFonts w:ascii="宋体" w:hAnsi="宋体"/>
                <w:sz w:val="24"/>
              </w:rPr>
            </w:pPr>
          </w:p>
        </w:tc>
        <w:tc>
          <w:tcPr>
            <w:tcW w:w="4399" w:type="dxa"/>
            <w:noWrap w:val="0"/>
            <w:vAlign w:val="top"/>
          </w:tcPr>
          <w:p>
            <w:pPr>
              <w:pStyle w:val="22"/>
              <w:spacing w:line="240" w:lineRule="auto"/>
              <w:rPr>
                <w:rFonts w:hint="eastAsia" w:ascii="宋体" w:hAnsi="宋体" w:eastAsia="宋体"/>
                <w:sz w:val="24"/>
                <w:lang w:val="en-US" w:eastAsia="zh-CN"/>
              </w:rPr>
            </w:pPr>
            <w:r>
              <w:rPr>
                <w:rFonts w:hint="eastAsia" w:ascii="宋体" w:hAnsi="宋体"/>
                <w:sz w:val="24"/>
              </w:rPr>
              <w:t>粪大肠菌群数</w:t>
            </w:r>
            <w:r>
              <w:rPr>
                <w:rFonts w:hint="eastAsia" w:ascii="宋体" w:hAnsi="宋体"/>
                <w:sz w:val="24"/>
                <w:lang w:eastAsia="zh-CN"/>
              </w:rPr>
              <w:t>（</w:t>
            </w:r>
            <w:r>
              <w:rPr>
                <w:rFonts w:hint="eastAsia" w:ascii="宋体" w:hAnsi="宋体"/>
                <w:sz w:val="24"/>
                <w:lang w:val="en-US" w:eastAsia="zh-CN"/>
              </w:rPr>
              <w:t>个/g（ml）</w:t>
            </w:r>
            <w:r>
              <w:rPr>
                <w:rFonts w:hint="eastAsia" w:ascii="宋体" w:hAnsi="宋体"/>
                <w:sz w:val="24"/>
                <w:lang w:eastAsia="zh-CN"/>
              </w:rPr>
              <w:t>）</w:t>
            </w:r>
          </w:p>
        </w:tc>
        <w:tc>
          <w:tcPr>
            <w:tcW w:w="1946" w:type="dxa"/>
            <w:noWrap w:val="0"/>
            <w:vAlign w:val="top"/>
          </w:tcPr>
          <w:p>
            <w:pPr>
              <w:pStyle w:val="22"/>
              <w:spacing w:line="240" w:lineRule="auto"/>
              <w:rPr>
                <w:rFonts w:hint="default" w:ascii="宋体" w:hAnsi="宋体" w:eastAsia="宋体"/>
                <w:sz w:val="24"/>
                <w:lang w:val="en-US" w:eastAsia="zh-CN"/>
              </w:rPr>
            </w:pPr>
            <w:r>
              <w:rPr>
                <w:rFonts w:hint="eastAsia" w:ascii="宋体" w:hAnsi="宋体"/>
                <w:sz w:val="24"/>
              </w:rPr>
              <w:t>≤1</w:t>
            </w:r>
            <w:r>
              <w:rPr>
                <w:rFonts w:hint="eastAsia" w:ascii="宋体" w:hAnsi="宋体"/>
                <w:sz w:val="24"/>
                <w:lang w:val="en-US" w:eastAsia="zh-CN"/>
              </w:rPr>
              <w:t>0</w:t>
            </w:r>
            <w:r>
              <w:rPr>
                <w:rFonts w:hint="eastAsia" w:ascii="宋体" w:hAnsi="宋体"/>
                <w:sz w:val="24"/>
              </w:rPr>
              <w:t>0</w:t>
            </w:r>
          </w:p>
        </w:tc>
        <w:tc>
          <w:tcPr>
            <w:tcW w:w="1462" w:type="dxa"/>
            <w:vMerge w:val="continue"/>
            <w:noWrap w:val="0"/>
            <w:vAlign w:val="top"/>
          </w:tcPr>
          <w:p>
            <w:pPr>
              <w:pStyle w:val="22"/>
              <w:spacing w:line="360" w:lineRule="auto"/>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335" w:type="dxa"/>
            <w:vMerge w:val="continue"/>
            <w:noWrap w:val="0"/>
            <w:vAlign w:val="top"/>
          </w:tcPr>
          <w:p>
            <w:pPr>
              <w:pStyle w:val="22"/>
              <w:spacing w:line="240" w:lineRule="auto"/>
              <w:rPr>
                <w:rFonts w:ascii="宋体" w:hAnsi="宋体"/>
                <w:sz w:val="24"/>
              </w:rPr>
            </w:pPr>
          </w:p>
        </w:tc>
        <w:tc>
          <w:tcPr>
            <w:tcW w:w="4399" w:type="dxa"/>
            <w:noWrap w:val="0"/>
            <w:vAlign w:val="top"/>
          </w:tcPr>
          <w:p>
            <w:pPr>
              <w:pStyle w:val="22"/>
              <w:spacing w:line="240" w:lineRule="auto"/>
              <w:rPr>
                <w:rFonts w:hint="eastAsia" w:ascii="宋体" w:hAnsi="宋体"/>
                <w:sz w:val="24"/>
              </w:rPr>
            </w:pPr>
            <w:r>
              <w:rPr>
                <w:rFonts w:hint="eastAsia" w:ascii="宋体" w:hAnsi="宋体"/>
                <w:sz w:val="24"/>
              </w:rPr>
              <w:t>蛔虫卵死亡率</w:t>
            </w:r>
          </w:p>
        </w:tc>
        <w:tc>
          <w:tcPr>
            <w:tcW w:w="1946" w:type="dxa"/>
            <w:noWrap w:val="0"/>
            <w:vAlign w:val="top"/>
          </w:tcPr>
          <w:p>
            <w:pPr>
              <w:pStyle w:val="22"/>
              <w:spacing w:line="240" w:lineRule="auto"/>
              <w:rPr>
                <w:rFonts w:hint="eastAsia" w:ascii="宋体" w:hAnsi="宋体"/>
                <w:sz w:val="24"/>
              </w:rPr>
            </w:pPr>
            <w:r>
              <w:rPr>
                <w:rFonts w:hint="eastAsia" w:ascii="宋体" w:hAnsi="宋体"/>
                <w:sz w:val="24"/>
              </w:rPr>
              <w:t>≥</w:t>
            </w:r>
            <w:r>
              <w:rPr>
                <w:rFonts w:hint="eastAsia" w:ascii="宋体" w:hAnsi="宋体"/>
                <w:sz w:val="24"/>
                <w:lang w:val="en-US" w:eastAsia="zh-CN"/>
              </w:rPr>
              <w:t>95</w:t>
            </w:r>
            <w:r>
              <w:rPr>
                <w:rFonts w:hint="eastAsia" w:ascii="宋体" w:hAnsi="宋体"/>
                <w:sz w:val="24"/>
              </w:rPr>
              <w:t>%</w:t>
            </w:r>
          </w:p>
        </w:tc>
        <w:tc>
          <w:tcPr>
            <w:tcW w:w="1462" w:type="dxa"/>
            <w:vMerge w:val="continue"/>
            <w:noWrap w:val="0"/>
            <w:vAlign w:val="top"/>
          </w:tcPr>
          <w:p>
            <w:pPr>
              <w:pStyle w:val="22"/>
              <w:spacing w:line="360" w:lineRule="auto"/>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335" w:type="dxa"/>
            <w:vMerge w:val="continue"/>
            <w:noWrap w:val="0"/>
            <w:vAlign w:val="top"/>
          </w:tcPr>
          <w:p>
            <w:pPr>
              <w:pStyle w:val="22"/>
              <w:spacing w:line="240" w:lineRule="auto"/>
              <w:rPr>
                <w:rFonts w:ascii="宋体" w:hAnsi="宋体"/>
                <w:sz w:val="24"/>
              </w:rPr>
            </w:pPr>
          </w:p>
        </w:tc>
        <w:tc>
          <w:tcPr>
            <w:tcW w:w="4399" w:type="dxa"/>
            <w:noWrap w:val="0"/>
            <w:vAlign w:val="top"/>
          </w:tcPr>
          <w:p>
            <w:pPr>
              <w:pStyle w:val="22"/>
              <w:spacing w:line="240" w:lineRule="auto"/>
              <w:rPr>
                <w:rFonts w:hint="default" w:ascii="宋体" w:hAnsi="宋体" w:eastAsia="宋体"/>
                <w:sz w:val="24"/>
                <w:lang w:val="en-US" w:eastAsia="zh-CN"/>
              </w:rPr>
            </w:pPr>
            <w:r>
              <w:rPr>
                <w:rFonts w:hint="eastAsia" w:ascii="宋体" w:hAnsi="宋体"/>
                <w:sz w:val="24"/>
                <w:lang w:val="en-US" w:eastAsia="zh-CN"/>
              </w:rPr>
              <w:t>种子发芽指数</w:t>
            </w:r>
            <w:r>
              <w:rPr>
                <w:rFonts w:hint="eastAsia" w:ascii="宋体" w:hAnsi="宋体"/>
                <w:sz w:val="24"/>
                <w:lang w:eastAsia="zh-CN"/>
              </w:rPr>
              <w:t>（</w:t>
            </w:r>
            <w:r>
              <w:rPr>
                <w:rFonts w:hint="eastAsia" w:ascii="宋体" w:hAnsi="宋体"/>
                <w:sz w:val="24"/>
                <w:lang w:val="en-US" w:eastAsia="zh-CN"/>
              </w:rPr>
              <w:t>腐熟度检测</w:t>
            </w:r>
            <w:r>
              <w:rPr>
                <w:rFonts w:hint="eastAsia" w:ascii="宋体" w:hAnsi="宋体"/>
                <w:sz w:val="24"/>
                <w:lang w:eastAsia="zh-CN"/>
              </w:rPr>
              <w:t>）</w:t>
            </w:r>
          </w:p>
        </w:tc>
        <w:tc>
          <w:tcPr>
            <w:tcW w:w="1946" w:type="dxa"/>
            <w:noWrap w:val="0"/>
            <w:vAlign w:val="top"/>
          </w:tcPr>
          <w:p>
            <w:pPr>
              <w:pStyle w:val="22"/>
              <w:spacing w:line="240" w:lineRule="auto"/>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70</w:t>
            </w:r>
            <w:r>
              <w:rPr>
                <w:rFonts w:hint="eastAsia" w:ascii="宋体" w:hAnsi="宋体"/>
                <w:sz w:val="24"/>
              </w:rPr>
              <w:t>%</w:t>
            </w:r>
          </w:p>
        </w:tc>
        <w:tc>
          <w:tcPr>
            <w:tcW w:w="1462" w:type="dxa"/>
            <w:vMerge w:val="continue"/>
            <w:noWrap w:val="0"/>
            <w:vAlign w:val="top"/>
          </w:tcPr>
          <w:p>
            <w:pPr>
              <w:pStyle w:val="22"/>
              <w:spacing w:line="360" w:lineRule="auto"/>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1335" w:type="dxa"/>
            <w:vMerge w:val="continue"/>
            <w:noWrap w:val="0"/>
            <w:vAlign w:val="top"/>
          </w:tcPr>
          <w:p>
            <w:pPr>
              <w:pStyle w:val="22"/>
              <w:spacing w:line="240" w:lineRule="auto"/>
              <w:rPr>
                <w:rFonts w:ascii="宋体" w:hAnsi="宋体"/>
                <w:sz w:val="24"/>
              </w:rPr>
            </w:pPr>
          </w:p>
        </w:tc>
        <w:tc>
          <w:tcPr>
            <w:tcW w:w="4399" w:type="dxa"/>
            <w:noWrap w:val="0"/>
            <w:vAlign w:val="top"/>
          </w:tcPr>
          <w:p>
            <w:pPr>
              <w:pStyle w:val="22"/>
              <w:spacing w:line="240" w:lineRule="auto"/>
              <w:rPr>
                <w:rFonts w:hint="default" w:ascii="宋体" w:hAnsi="宋体"/>
                <w:sz w:val="24"/>
                <w:lang w:val="en-US" w:eastAsia="zh-CN"/>
              </w:rPr>
            </w:pPr>
            <w:r>
              <w:rPr>
                <w:rFonts w:hint="eastAsia" w:ascii="宋体" w:hAnsi="宋体"/>
                <w:sz w:val="24"/>
                <w:lang w:val="en-US" w:eastAsia="zh-CN"/>
              </w:rPr>
              <w:t>机械杂质（石块、塑料、玻璃、金属等）的质量分数</w:t>
            </w:r>
          </w:p>
        </w:tc>
        <w:tc>
          <w:tcPr>
            <w:tcW w:w="1946" w:type="dxa"/>
            <w:noWrap w:val="0"/>
            <w:vAlign w:val="top"/>
          </w:tcPr>
          <w:p>
            <w:pPr>
              <w:pStyle w:val="22"/>
              <w:spacing w:line="240" w:lineRule="auto"/>
              <w:rPr>
                <w:rFonts w:hint="eastAsia" w:ascii="宋体" w:hAnsi="宋体"/>
                <w:sz w:val="24"/>
              </w:rPr>
            </w:pPr>
            <w:r>
              <w:rPr>
                <w:rFonts w:hint="eastAsia" w:ascii="宋体" w:hAnsi="宋体"/>
                <w:sz w:val="24"/>
              </w:rPr>
              <w:t>≤</w:t>
            </w:r>
            <w:r>
              <w:rPr>
                <w:rFonts w:hint="eastAsia" w:ascii="宋体" w:hAnsi="宋体"/>
                <w:sz w:val="24"/>
                <w:lang w:val="en-US" w:eastAsia="zh-CN"/>
              </w:rPr>
              <w:t>0.5</w:t>
            </w:r>
            <w:r>
              <w:rPr>
                <w:rFonts w:hint="eastAsia" w:ascii="宋体" w:hAnsi="宋体"/>
                <w:sz w:val="24"/>
              </w:rPr>
              <w:t>%</w:t>
            </w:r>
          </w:p>
        </w:tc>
        <w:tc>
          <w:tcPr>
            <w:tcW w:w="1462" w:type="dxa"/>
            <w:vMerge w:val="continue"/>
            <w:noWrap w:val="0"/>
            <w:vAlign w:val="top"/>
          </w:tcPr>
          <w:p>
            <w:pPr>
              <w:pStyle w:val="22"/>
              <w:spacing w:line="360" w:lineRule="auto"/>
              <w:rPr>
                <w:rFonts w:ascii="宋体" w:hAnsi="宋体"/>
                <w:sz w:val="24"/>
              </w:rPr>
            </w:pPr>
          </w:p>
        </w:tc>
      </w:tr>
    </w:tbl>
    <w:p>
      <w:pPr>
        <w:pStyle w:val="22"/>
        <w:numPr>
          <w:ilvl w:val="0"/>
          <w:numId w:val="0"/>
        </w:numPr>
        <w:spacing w:line="360" w:lineRule="auto"/>
        <w:rPr>
          <w:rFonts w:hint="eastAsia" w:ascii="宋体" w:hAnsi="宋体"/>
          <w:color w:val="auto"/>
          <w:sz w:val="24"/>
          <w:highlight w:val="none"/>
        </w:rPr>
      </w:pPr>
      <w:r>
        <w:rPr>
          <w:rFonts w:hint="eastAsia" w:ascii="宋体" w:hAnsi="宋体" w:eastAsia="宋体" w:cs="Times New Roman"/>
          <w:color w:val="auto"/>
          <w:kern w:val="2"/>
          <w:sz w:val="24"/>
          <w:szCs w:val="24"/>
          <w:highlight w:val="none"/>
          <w:lang w:val="en-US" w:eastAsia="zh-CN" w:bidi="ar-SA"/>
        </w:rPr>
        <w:t>2、</w:t>
      </w:r>
      <w:r>
        <w:rPr>
          <w:rFonts w:hint="eastAsia" w:ascii="宋体" w:hAnsi="宋体"/>
          <w:color w:val="auto"/>
          <w:sz w:val="24"/>
          <w:highlight w:val="none"/>
        </w:rPr>
        <w:t>数量要求：</w:t>
      </w:r>
    </w:p>
    <w:p>
      <w:pPr>
        <w:pStyle w:val="22"/>
        <w:numPr>
          <w:ilvl w:val="0"/>
          <w:numId w:val="0"/>
        </w:numPr>
        <w:spacing w:line="360" w:lineRule="auto"/>
        <w:rPr>
          <w:rFonts w:hint="default" w:ascii="宋体" w:hAnsi="宋体"/>
          <w:color w:val="auto"/>
          <w:sz w:val="24"/>
          <w:highlight w:val="yellow"/>
          <w:lang w:val="en-US"/>
        </w:rPr>
      </w:pPr>
      <w:r>
        <w:rPr>
          <w:rFonts w:hint="eastAsia" w:ascii="宋体" w:hAnsi="宋体"/>
          <w:color w:val="auto"/>
          <w:sz w:val="24"/>
          <w:highlight w:val="none"/>
          <w:lang w:val="en-US" w:eastAsia="zh-CN"/>
        </w:rPr>
        <w:t>有机肥240吨、土壤调理剂6吨</w:t>
      </w:r>
    </w:p>
    <w:p>
      <w:pPr>
        <w:pStyle w:val="22"/>
        <w:spacing w:line="360" w:lineRule="auto"/>
        <w:rPr>
          <w:rFonts w:ascii="宋体" w:hAnsi="宋体"/>
          <w:sz w:val="24"/>
        </w:rPr>
      </w:pPr>
      <w:r>
        <w:rPr>
          <w:rFonts w:ascii="宋体" w:hAnsi="宋体"/>
          <w:sz w:val="24"/>
        </w:rPr>
        <w:t>3</w:t>
      </w:r>
      <w:r>
        <w:rPr>
          <w:rFonts w:hint="eastAsia" w:ascii="宋体" w:hAnsi="宋体"/>
          <w:sz w:val="24"/>
        </w:rPr>
        <w:t>、产品技术服务要求</w:t>
      </w:r>
    </w:p>
    <w:p>
      <w:pPr>
        <w:spacing w:line="400" w:lineRule="exact"/>
        <w:rPr>
          <w:rFonts w:hint="eastAsia" w:ascii="宋体" w:hAnsi="宋体"/>
        </w:rPr>
      </w:pPr>
      <w:r>
        <w:rPr>
          <w:rFonts w:hint="eastAsia" w:ascii="宋体" w:hAnsi="宋体"/>
          <w:sz w:val="24"/>
        </w:rPr>
        <w:t xml:space="preserve">供应商负责按设计标准将有机肥发放到项目区农户手中，并做好发放时的相关影像、纸质材料留存；供应商负责在项目区范围内开展有机肥使用技术培训，由供应商组织相关技术人员进行授课。重点对乡镇技术站长、种植大户、科技带头户等新型职业农民进行培训。每个项目区培训两期以上，每期 </w:t>
      </w:r>
      <w:r>
        <w:rPr>
          <w:rFonts w:hint="eastAsia" w:ascii="宋体" w:hAnsi="宋体"/>
          <w:sz w:val="24"/>
          <w:lang w:val="en-US" w:eastAsia="zh-CN"/>
        </w:rPr>
        <w:t>5</w:t>
      </w:r>
      <w:r>
        <w:rPr>
          <w:rFonts w:hint="eastAsia" w:ascii="宋体" w:hAnsi="宋体"/>
          <w:sz w:val="24"/>
        </w:rPr>
        <w:t xml:space="preserve">0 人以上，每个项目区培训总人数不低于 </w:t>
      </w:r>
      <w:r>
        <w:rPr>
          <w:rFonts w:hint="eastAsia" w:ascii="宋体" w:hAnsi="宋体"/>
          <w:sz w:val="24"/>
          <w:lang w:val="en-US" w:eastAsia="zh-CN"/>
        </w:rPr>
        <w:t>1</w:t>
      </w:r>
      <w:r>
        <w:rPr>
          <w:rFonts w:hint="eastAsia" w:ascii="宋体" w:hAnsi="宋体"/>
          <w:sz w:val="24"/>
        </w:rPr>
        <w:t>00 人</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7"/>
        <w:numPr>
          <w:ilvl w:val="0"/>
          <w:numId w:val="0"/>
        </w:numPr>
        <w:bidi w:val="0"/>
        <w:rPr>
          <w:rFonts w:hint="eastAsia"/>
        </w:rPr>
      </w:pPr>
      <w:bookmarkStart w:id="303" w:name="_Toc775"/>
      <w:bookmarkStart w:id="304" w:name="_Toc18479"/>
      <w:bookmarkStart w:id="305" w:name="_Toc119784541"/>
      <w:r>
        <w:rPr>
          <w:rFonts w:hint="eastAsia" w:ascii="Times New Roman" w:hAnsi="Times New Roman" w:eastAsia="宋体" w:cstheme="minorBidi"/>
          <w:b/>
          <w:bCs/>
          <w:color w:val="000000" w:themeColor="text1"/>
          <w:kern w:val="44"/>
          <w:sz w:val="32"/>
          <w:szCs w:val="44"/>
          <w:lang w:val="en-US" w:eastAsia="zh-CN" w:bidi="ar-SA"/>
          <w14:textFill>
            <w14:solidFill>
              <w14:schemeClr w14:val="tx1">
                <w14:alpha w14:val="0"/>
              </w14:schemeClr>
            </w14:solidFill>
          </w14:textFill>
        </w:rPr>
        <w:t>第七章</w:t>
      </w:r>
      <w:r>
        <w:rPr>
          <w:rFonts w:hint="eastAsia"/>
        </w:rPr>
        <w:t xml:space="preserve"> 响应文件格式</w:t>
      </w:r>
      <w:bookmarkEnd w:id="303"/>
      <w:bookmarkEnd w:id="304"/>
      <w:bookmarkEnd w:id="305"/>
    </w:p>
    <w:p>
      <w:pPr>
        <w:numPr>
          <w:ilvl w:val="0"/>
          <w:numId w:val="0"/>
        </w:numPr>
      </w:pPr>
    </w:p>
    <w:p>
      <w:pPr>
        <w:spacing w:line="360" w:lineRule="auto"/>
        <w:ind w:right="-197"/>
        <w:jc w:val="center"/>
        <w:rPr>
          <w:rFonts w:ascii="宋体" w:hAnsi="宋体" w:cs="宋体"/>
          <w:b/>
          <w:sz w:val="28"/>
          <w:szCs w:val="28"/>
        </w:rPr>
      </w:pPr>
    </w:p>
    <w:p>
      <w:pPr>
        <w:spacing w:line="360" w:lineRule="auto"/>
        <w:ind w:right="-197"/>
        <w:jc w:val="center"/>
        <w:rPr>
          <w:rFonts w:hint="eastAsia" w:ascii="宋体" w:hAnsi="宋体" w:cs="宋体"/>
          <w:b/>
          <w:sz w:val="28"/>
          <w:szCs w:val="28"/>
        </w:rPr>
      </w:pPr>
      <w:r>
        <w:rPr>
          <w:rFonts w:hint="eastAsia" w:ascii="宋体" w:hAnsi="宋体" w:cs="宋体"/>
          <w:b/>
          <w:sz w:val="28"/>
          <w:szCs w:val="28"/>
          <w:lang w:val="en-US" w:eastAsia="zh-CN"/>
        </w:rPr>
        <w:t xml:space="preserve"> </w:t>
      </w:r>
      <w:r>
        <w:rPr>
          <w:rFonts w:hint="eastAsia" w:ascii="宋体" w:hAnsi="宋体" w:cs="宋体"/>
          <w:b/>
          <w:sz w:val="28"/>
          <w:szCs w:val="28"/>
        </w:rPr>
        <w:t>（项目名称）</w:t>
      </w:r>
    </w:p>
    <w:p>
      <w:pPr>
        <w:pStyle w:val="2"/>
        <w:jc w:val="center"/>
        <w:rPr>
          <w:rFonts w:hint="default" w:eastAsia="宋体"/>
          <w:lang w:val="en-US" w:eastAsia="zh-CN"/>
        </w:rPr>
      </w:pPr>
      <w:r>
        <w:rPr>
          <w:rFonts w:hint="eastAsia" w:ascii="宋体" w:hAnsi="宋体" w:cs="宋体"/>
          <w:b/>
          <w:sz w:val="28"/>
          <w:szCs w:val="28"/>
          <w:lang w:val="en-US" w:eastAsia="zh-CN"/>
        </w:rPr>
        <w:t>第 一 标段</w:t>
      </w:r>
    </w:p>
    <w:p>
      <w:pPr>
        <w:spacing w:line="360" w:lineRule="auto"/>
        <w:ind w:right="-197"/>
        <w:jc w:val="left"/>
        <w:rPr>
          <w:rFonts w:ascii="宋体" w:hAnsi="宋体" w:cs="宋体"/>
          <w:b/>
          <w:szCs w:val="21"/>
        </w:rPr>
      </w:pPr>
    </w:p>
    <w:p>
      <w:pPr>
        <w:spacing w:line="360" w:lineRule="auto"/>
        <w:ind w:right="-197"/>
        <w:rPr>
          <w:rFonts w:ascii="宋体" w:hAnsi="宋体" w:cs="宋体"/>
          <w:b/>
          <w:szCs w:val="21"/>
        </w:rPr>
      </w:pPr>
    </w:p>
    <w:p>
      <w:pPr>
        <w:spacing w:line="360" w:lineRule="auto"/>
        <w:ind w:right="-197"/>
        <w:jc w:val="center"/>
        <w:rPr>
          <w:rFonts w:ascii="宋体" w:hAnsi="宋体" w:cs="宋体"/>
          <w:b/>
          <w:sz w:val="80"/>
          <w:szCs w:val="80"/>
          <w:u w:val="single"/>
        </w:rPr>
      </w:pPr>
      <w:r>
        <w:rPr>
          <w:rFonts w:hint="eastAsia" w:ascii="宋体" w:hAnsi="宋体" w:cs="宋体"/>
          <w:b/>
          <w:sz w:val="80"/>
          <w:szCs w:val="80"/>
        </w:rPr>
        <w:t>响 应 文 件</w:t>
      </w:r>
    </w:p>
    <w:p>
      <w:pPr>
        <w:spacing w:line="360" w:lineRule="auto"/>
        <w:ind w:right="-197" w:firstLine="2693" w:firstLineChars="958"/>
        <w:rPr>
          <w:rFonts w:ascii="宋体" w:hAnsi="宋体" w:cs="宋体"/>
          <w:b/>
          <w:sz w:val="28"/>
          <w:szCs w:val="28"/>
        </w:rPr>
      </w:pPr>
      <w:r>
        <w:rPr>
          <w:rFonts w:hint="eastAsia" w:ascii="宋体" w:hAnsi="宋体" w:cs="宋体"/>
          <w:b/>
          <w:sz w:val="28"/>
          <w:szCs w:val="28"/>
        </w:rPr>
        <w:t>采购编号：</w:t>
      </w:r>
    </w:p>
    <w:p>
      <w:pPr>
        <w:spacing w:line="360" w:lineRule="auto"/>
        <w:ind w:right="-197"/>
        <w:rPr>
          <w:rFonts w:ascii="宋体" w:hAnsi="宋体" w:cs="宋体"/>
          <w:b/>
          <w:sz w:val="28"/>
          <w:szCs w:val="28"/>
        </w:rPr>
      </w:pPr>
    </w:p>
    <w:p>
      <w:pPr>
        <w:spacing w:line="360" w:lineRule="auto"/>
        <w:ind w:right="-197"/>
        <w:rPr>
          <w:rFonts w:ascii="宋体" w:hAnsi="宋体" w:cs="宋体"/>
          <w:b/>
          <w:sz w:val="28"/>
          <w:szCs w:val="28"/>
        </w:rPr>
      </w:pPr>
    </w:p>
    <w:p>
      <w:pPr>
        <w:spacing w:line="360" w:lineRule="auto"/>
        <w:ind w:right="-197"/>
        <w:rPr>
          <w:rFonts w:ascii="宋体" w:hAnsi="宋体" w:cs="宋体"/>
          <w:b/>
          <w:sz w:val="28"/>
          <w:szCs w:val="28"/>
        </w:rPr>
      </w:pPr>
    </w:p>
    <w:p>
      <w:pPr>
        <w:spacing w:line="360" w:lineRule="auto"/>
        <w:ind w:right="-197"/>
        <w:rPr>
          <w:rFonts w:ascii="宋体" w:hAnsi="宋体" w:cs="宋体"/>
          <w:b/>
          <w:sz w:val="28"/>
          <w:szCs w:val="28"/>
        </w:rPr>
      </w:pPr>
    </w:p>
    <w:p>
      <w:pPr>
        <w:spacing w:line="360" w:lineRule="auto"/>
        <w:ind w:right="-197" w:firstLine="1127" w:firstLineChars="401"/>
        <w:jc w:val="left"/>
        <w:rPr>
          <w:rFonts w:ascii="宋体" w:hAnsi="宋体"/>
          <w:b/>
          <w:sz w:val="28"/>
          <w:szCs w:val="28"/>
        </w:rPr>
      </w:pPr>
    </w:p>
    <w:p>
      <w:pPr>
        <w:spacing w:line="360" w:lineRule="auto"/>
        <w:ind w:right="-197" w:firstLine="1127" w:firstLineChars="401"/>
        <w:jc w:val="left"/>
        <w:rPr>
          <w:rFonts w:ascii="宋体" w:hAnsi="宋体"/>
          <w:b/>
          <w:sz w:val="28"/>
          <w:szCs w:val="28"/>
        </w:rPr>
      </w:pPr>
    </w:p>
    <w:p>
      <w:pPr>
        <w:spacing w:line="360" w:lineRule="auto"/>
        <w:ind w:right="-197" w:firstLine="1127" w:firstLineChars="401"/>
        <w:jc w:val="left"/>
        <w:rPr>
          <w:rFonts w:ascii="宋体" w:hAnsi="宋体"/>
          <w:b/>
          <w:sz w:val="28"/>
          <w:szCs w:val="28"/>
        </w:rPr>
      </w:pPr>
    </w:p>
    <w:p>
      <w:pPr>
        <w:spacing w:line="360" w:lineRule="auto"/>
        <w:ind w:right="-197" w:firstLine="1127" w:firstLineChars="401"/>
        <w:jc w:val="left"/>
        <w:rPr>
          <w:rFonts w:ascii="宋体" w:hAnsi="宋体"/>
          <w:b/>
          <w:sz w:val="28"/>
          <w:szCs w:val="28"/>
          <w:u w:val="single"/>
        </w:rPr>
      </w:pPr>
      <w:r>
        <w:rPr>
          <w:rFonts w:hint="eastAsia" w:ascii="宋体" w:hAnsi="宋体"/>
          <w:b/>
          <w:sz w:val="28"/>
          <w:szCs w:val="28"/>
        </w:rPr>
        <w:t>供应商：</w:t>
      </w:r>
      <w:r>
        <w:rPr>
          <w:rFonts w:ascii="宋体" w:hAnsi="宋体"/>
          <w:b/>
          <w:sz w:val="28"/>
          <w:szCs w:val="28"/>
          <w:u w:val="single"/>
        </w:rPr>
        <w:t xml:space="preserve">                         </w:t>
      </w:r>
      <w:r>
        <w:rPr>
          <w:rFonts w:hint="eastAsia" w:ascii="宋体" w:hAnsi="宋体"/>
          <w:b/>
          <w:sz w:val="28"/>
          <w:szCs w:val="28"/>
        </w:rPr>
        <w:t>（电子签章）</w:t>
      </w:r>
    </w:p>
    <w:p>
      <w:pPr>
        <w:spacing w:line="360" w:lineRule="auto"/>
        <w:ind w:right="-197" w:firstLine="1130" w:firstLineChars="402"/>
        <w:jc w:val="left"/>
        <w:rPr>
          <w:rFonts w:ascii="宋体" w:hAnsi="宋体"/>
          <w:b/>
          <w:sz w:val="28"/>
          <w:szCs w:val="28"/>
        </w:rPr>
      </w:pPr>
      <w:r>
        <w:rPr>
          <w:rFonts w:hint="eastAsia" w:ascii="宋体" w:hAnsi="宋体"/>
          <w:b/>
          <w:sz w:val="28"/>
          <w:szCs w:val="28"/>
        </w:rPr>
        <w:t>法定代表人或其委托代理人：</w:t>
      </w:r>
      <w:r>
        <w:rPr>
          <w:rFonts w:ascii="宋体" w:hAnsi="宋体"/>
          <w:b/>
          <w:sz w:val="28"/>
          <w:szCs w:val="28"/>
          <w:u w:val="single"/>
        </w:rPr>
        <w:t xml:space="preserve">            </w:t>
      </w:r>
      <w:r>
        <w:rPr>
          <w:rFonts w:hint="eastAsia" w:ascii="宋体" w:hAnsi="宋体"/>
          <w:b/>
          <w:sz w:val="28"/>
          <w:szCs w:val="28"/>
        </w:rPr>
        <w:t>（电子签章）</w:t>
      </w:r>
    </w:p>
    <w:p>
      <w:pPr>
        <w:spacing w:line="360" w:lineRule="auto"/>
        <w:ind w:right="-197" w:firstLine="1130" w:firstLineChars="402"/>
        <w:jc w:val="left"/>
        <w:rPr>
          <w:rFonts w:ascii="宋体" w:hAnsi="宋体"/>
          <w:b/>
          <w:sz w:val="28"/>
          <w:szCs w:val="28"/>
        </w:rPr>
      </w:pPr>
      <w:r>
        <w:rPr>
          <w:rFonts w:hint="eastAsia" w:ascii="宋体" w:hAnsi="宋体"/>
          <w:b/>
          <w:sz w:val="28"/>
          <w:szCs w:val="28"/>
        </w:rPr>
        <w:t>日  期：</w:t>
      </w:r>
      <w:r>
        <w:rPr>
          <w:rFonts w:ascii="宋体" w:hAnsi="宋体"/>
          <w:b/>
          <w:sz w:val="28"/>
          <w:szCs w:val="28"/>
          <w:u w:val="single"/>
        </w:rPr>
        <w:t xml:space="preserve">       </w:t>
      </w:r>
      <w:r>
        <w:rPr>
          <w:rFonts w:hint="eastAsia" w:ascii="宋体" w:hAnsi="宋体"/>
          <w:b/>
          <w:sz w:val="28"/>
          <w:szCs w:val="28"/>
        </w:rPr>
        <w:t>年</w:t>
      </w:r>
      <w:r>
        <w:rPr>
          <w:rFonts w:ascii="宋体" w:hAnsi="宋体"/>
          <w:b/>
          <w:sz w:val="28"/>
          <w:szCs w:val="28"/>
          <w:u w:val="single"/>
        </w:rPr>
        <w:t xml:space="preserve">     </w:t>
      </w:r>
      <w:r>
        <w:rPr>
          <w:rFonts w:hint="eastAsia" w:ascii="宋体" w:hAnsi="宋体"/>
          <w:b/>
          <w:sz w:val="28"/>
          <w:szCs w:val="28"/>
        </w:rPr>
        <w:t>月</w:t>
      </w:r>
      <w:r>
        <w:rPr>
          <w:rFonts w:ascii="宋体" w:hAnsi="宋体"/>
          <w:b/>
          <w:sz w:val="28"/>
          <w:szCs w:val="28"/>
          <w:u w:val="single"/>
        </w:rPr>
        <w:t xml:space="preserve">     </w:t>
      </w:r>
      <w:r>
        <w:rPr>
          <w:rFonts w:hint="eastAsia" w:ascii="宋体" w:hAnsi="宋体"/>
          <w:b/>
          <w:sz w:val="28"/>
          <w:szCs w:val="28"/>
        </w:rPr>
        <w:t>日</w:t>
      </w:r>
    </w:p>
    <w:p/>
    <w:p>
      <w:r>
        <w:br w:type="page"/>
      </w:r>
    </w:p>
    <w:p>
      <w:pPr>
        <w:pStyle w:val="8"/>
        <w:jc w:val="center"/>
        <w:rPr>
          <w:rFonts w:ascii="宋体" w:hAnsi="宋体" w:eastAsia="宋体"/>
        </w:rPr>
      </w:pPr>
      <w:bookmarkStart w:id="306" w:name="_Toc20283"/>
      <w:r>
        <w:rPr>
          <w:rFonts w:hint="eastAsia" w:ascii="宋体" w:hAnsi="宋体" w:eastAsia="宋体"/>
        </w:rPr>
        <w:t>一、投标函及投标函附录</w:t>
      </w:r>
      <w:bookmarkEnd w:id="306"/>
    </w:p>
    <w:p>
      <w:pPr>
        <w:jc w:val="center"/>
        <w:outlineLvl w:val="1"/>
        <w:rPr>
          <w:rFonts w:ascii="Calibri" w:hAnsi="Calibri"/>
          <w:b/>
          <w:sz w:val="28"/>
          <w:szCs w:val="28"/>
        </w:rPr>
      </w:pPr>
      <w:bookmarkStart w:id="307" w:name="_Toc6235"/>
      <w:r>
        <w:rPr>
          <w:rFonts w:hint="eastAsia" w:ascii="Calibri" w:hAnsi="Calibri"/>
          <w:b/>
          <w:sz w:val="28"/>
          <w:szCs w:val="28"/>
        </w:rPr>
        <w:t>（一）投标函</w:t>
      </w:r>
      <w:bookmarkEnd w:id="307"/>
    </w:p>
    <w:p>
      <w:pPr>
        <w:spacing w:line="360" w:lineRule="auto"/>
        <w:ind w:firstLine="480" w:firstLineChars="200"/>
        <w:rPr>
          <w:rFonts w:ascii="宋体" w:hAnsi="宋体"/>
          <w:sz w:val="24"/>
        </w:rPr>
      </w:pPr>
    </w:p>
    <w:p>
      <w:pPr>
        <w:spacing w:line="360" w:lineRule="auto"/>
        <w:rPr>
          <w:rFonts w:ascii="宋体" w:hAnsi="宋体"/>
          <w:sz w:val="24"/>
        </w:rPr>
      </w:pP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（采购人名称）：</w:t>
      </w:r>
    </w:p>
    <w:p>
      <w:pPr>
        <w:spacing w:line="360" w:lineRule="auto"/>
        <w:ind w:firstLine="480" w:firstLineChars="200"/>
        <w:rPr>
          <w:rFonts w:ascii="宋体" w:hAnsi="宋体"/>
          <w:sz w:val="24"/>
        </w:rPr>
      </w:pPr>
      <w:r>
        <w:rPr>
          <w:rFonts w:hint="eastAsia" w:ascii="宋体" w:hAnsi="宋体"/>
          <w:sz w:val="24"/>
        </w:rPr>
        <w:t>1．我方已仔细研究了（项目名称）</w:t>
      </w:r>
      <w:r>
        <w:rPr>
          <w:rFonts w:hint="eastAsia" w:ascii="宋体" w:hAnsi="宋体"/>
          <w:sz w:val="24"/>
          <w:u w:val="single"/>
        </w:rPr>
        <w:t xml:space="preserve">                   </w:t>
      </w:r>
      <w:r>
        <w:rPr>
          <w:rFonts w:hint="eastAsia" w:ascii="宋体" w:hAnsi="宋体"/>
          <w:sz w:val="24"/>
        </w:rPr>
        <w:t>磋商文件的全部内容，愿意以人民币（大写）</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元的投标报价，</w:t>
      </w:r>
      <w:r>
        <w:rPr>
          <w:rFonts w:hint="eastAsia" w:ascii="宋体" w:hAnsi="宋体"/>
          <w:sz w:val="24"/>
          <w:lang w:val="en-US" w:eastAsia="zh-CN"/>
        </w:rPr>
        <w:t>供货期</w:t>
      </w:r>
      <w:r>
        <w:rPr>
          <w:rFonts w:hint="eastAsia" w:ascii="宋体" w:hAnsi="宋体"/>
          <w:sz w:val="24"/>
          <w:u w:val="single"/>
        </w:rPr>
        <w:t xml:space="preserve">    </w:t>
      </w:r>
      <w:r>
        <w:rPr>
          <w:rFonts w:hint="eastAsia" w:ascii="宋体" w:hAnsi="宋体"/>
          <w:sz w:val="24"/>
        </w:rPr>
        <w:t>日历天，按合同约定完成全部合同内容，质量达到</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2．我方承诺在投标有效期内不修改、撤销响应文件。</w:t>
      </w:r>
    </w:p>
    <w:p>
      <w:pPr>
        <w:spacing w:line="360" w:lineRule="auto"/>
        <w:ind w:firstLine="480" w:firstLineChars="200"/>
        <w:rPr>
          <w:rFonts w:ascii="宋体" w:hAnsi="宋体"/>
          <w:sz w:val="24"/>
        </w:rPr>
      </w:pPr>
      <w:r>
        <w:rPr>
          <w:rFonts w:hint="eastAsia" w:ascii="宋体" w:hAnsi="宋体"/>
          <w:sz w:val="24"/>
        </w:rPr>
        <w:t>3．如我方中标：</w:t>
      </w:r>
    </w:p>
    <w:p>
      <w:pPr>
        <w:spacing w:line="360" w:lineRule="auto"/>
        <w:ind w:firstLine="480" w:firstLineChars="200"/>
        <w:rPr>
          <w:rFonts w:ascii="宋体" w:hAnsi="宋体"/>
          <w:sz w:val="24"/>
        </w:rPr>
      </w:pPr>
      <w:r>
        <w:rPr>
          <w:rFonts w:hint="eastAsia" w:ascii="宋体" w:hAnsi="宋体"/>
          <w:sz w:val="24"/>
        </w:rPr>
        <w:t>(l)我方承诺在收到中标通知书后，在中标通知书规定的期限内与你方签订合同。</w:t>
      </w:r>
    </w:p>
    <w:p>
      <w:pPr>
        <w:spacing w:line="360" w:lineRule="auto"/>
        <w:ind w:firstLine="480" w:firstLineChars="200"/>
        <w:rPr>
          <w:rFonts w:ascii="宋体" w:hAnsi="宋体"/>
          <w:sz w:val="24"/>
        </w:rPr>
      </w:pPr>
      <w:r>
        <w:rPr>
          <w:rFonts w:hint="eastAsia" w:ascii="宋体" w:hAnsi="宋体"/>
          <w:sz w:val="24"/>
        </w:rPr>
        <w:t>(2)随同本投标函递交的投标函附录属于合同文件的组成部分。</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)我方承诺在合同约定的期限内完成全部合同内容。</w:t>
      </w:r>
    </w:p>
    <w:p>
      <w:pPr>
        <w:spacing w:line="360" w:lineRule="auto"/>
        <w:ind w:firstLine="480" w:firstLineChars="200"/>
        <w:rPr>
          <w:rFonts w:ascii="宋体" w:hAnsi="宋体"/>
          <w:sz w:val="24"/>
        </w:rPr>
      </w:pPr>
      <w:r>
        <w:rPr>
          <w:rFonts w:hint="eastAsia" w:ascii="宋体" w:hAnsi="宋体"/>
          <w:sz w:val="24"/>
        </w:rPr>
        <w:t>4．我方在此声明，所递交的投标文件及有关资料内容完整、真实和准确，且不存在第二章“投标人</w:t>
      </w:r>
      <w:r>
        <w:rPr>
          <w:rFonts w:ascii="宋体" w:hAnsi="宋体"/>
          <w:sz w:val="24"/>
        </w:rPr>
        <w:t>(</w:t>
      </w:r>
      <w:r>
        <w:rPr>
          <w:rFonts w:hint="eastAsia" w:ascii="宋体" w:hAnsi="宋体"/>
          <w:sz w:val="24"/>
        </w:rPr>
        <w:t>供应商</w:t>
      </w:r>
      <w:r>
        <w:rPr>
          <w:rFonts w:ascii="宋体" w:hAnsi="宋体"/>
          <w:sz w:val="24"/>
        </w:rPr>
        <w:t>)</w:t>
      </w:r>
      <w:r>
        <w:rPr>
          <w:rFonts w:hint="eastAsia" w:ascii="宋体" w:hAnsi="宋体"/>
          <w:sz w:val="24"/>
        </w:rPr>
        <w:t>须知”第</w:t>
      </w:r>
      <w:r>
        <w:rPr>
          <w:rFonts w:ascii="宋体" w:hAnsi="宋体"/>
          <w:sz w:val="24"/>
        </w:rPr>
        <w:t>1.4.3</w:t>
      </w:r>
      <w:r>
        <w:rPr>
          <w:rFonts w:hint="eastAsia" w:ascii="宋体" w:hAnsi="宋体"/>
          <w:sz w:val="24"/>
        </w:rPr>
        <w:t>项规定的任何一种情形。</w:t>
      </w:r>
    </w:p>
    <w:p>
      <w:pPr>
        <w:spacing w:line="360" w:lineRule="auto"/>
        <w:ind w:firstLine="480" w:firstLineChars="200"/>
        <w:rPr>
          <w:rFonts w:ascii="宋体" w:hAnsi="宋体"/>
          <w:sz w:val="24"/>
        </w:rPr>
      </w:pPr>
      <w:r>
        <w:rPr>
          <w:rFonts w:hint="eastAsia" w:ascii="宋体" w:hAnsi="宋体"/>
          <w:sz w:val="24"/>
        </w:rPr>
        <w:t xml:space="preserve">5. </w:t>
      </w:r>
      <w:r>
        <w:rPr>
          <w:rFonts w:hint="eastAsia" w:ascii="宋体" w:hAnsi="宋体"/>
          <w:sz w:val="24"/>
          <w:u w:val="single"/>
        </w:rPr>
        <w:t xml:space="preserve">                     </w:t>
      </w:r>
      <w:r>
        <w:rPr>
          <w:rFonts w:hint="eastAsia" w:ascii="宋体" w:hAnsi="宋体"/>
          <w:sz w:val="24"/>
        </w:rPr>
        <w:t>（其他补充说明）。</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jc w:val="right"/>
        <w:rPr>
          <w:rFonts w:ascii="宋体" w:hAnsi="宋体"/>
          <w:sz w:val="24"/>
        </w:rPr>
      </w:pPr>
      <w:r>
        <w:rPr>
          <w:rFonts w:hint="eastAsia" w:ascii="宋体" w:hAnsi="宋体"/>
          <w:sz w:val="24"/>
        </w:rPr>
        <w:t xml:space="preserve">      供应商：</w:t>
      </w:r>
      <w:r>
        <w:rPr>
          <w:rFonts w:hint="eastAsia" w:ascii="宋体" w:hAnsi="宋体"/>
          <w:sz w:val="24"/>
          <w:u w:val="single"/>
        </w:rPr>
        <w:t xml:space="preserve">                             </w:t>
      </w:r>
      <w:r>
        <w:rPr>
          <w:rFonts w:hint="eastAsia" w:ascii="宋体" w:hAnsi="宋体"/>
          <w:sz w:val="24"/>
        </w:rPr>
        <w:t>（电子签章）</w:t>
      </w:r>
    </w:p>
    <w:p>
      <w:pPr>
        <w:spacing w:line="360" w:lineRule="auto"/>
        <w:ind w:right="945" w:firstLine="4560" w:firstLineChars="1900"/>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jc w:val="center"/>
        <w:rPr>
          <w:rFonts w:ascii="Calibri" w:hAnsi="Calibri"/>
          <w:b/>
          <w:sz w:val="24"/>
        </w:rPr>
      </w:pPr>
    </w:p>
    <w:p>
      <w:pPr>
        <w:jc w:val="center"/>
        <w:rPr>
          <w:rFonts w:ascii="Calibri" w:hAnsi="Calibri"/>
          <w:b/>
          <w:sz w:val="24"/>
          <w:szCs w:val="22"/>
        </w:rPr>
      </w:pPr>
    </w:p>
    <w:p>
      <w:pPr>
        <w:pStyle w:val="2"/>
        <w:ind w:firstLine="0" w:firstLineChars="0"/>
      </w:pPr>
    </w:p>
    <w:p>
      <w:r>
        <w:br w:type="page"/>
      </w:r>
    </w:p>
    <w:p>
      <w:pPr>
        <w:jc w:val="center"/>
        <w:outlineLvl w:val="1"/>
        <w:rPr>
          <w:rFonts w:ascii="Calibri" w:hAnsi="Calibri"/>
          <w:b/>
          <w:sz w:val="28"/>
          <w:szCs w:val="28"/>
        </w:rPr>
      </w:pPr>
      <w:bookmarkStart w:id="308" w:name="_Toc4829"/>
      <w:r>
        <w:rPr>
          <w:rFonts w:hint="eastAsia" w:ascii="Calibri" w:hAnsi="Calibri"/>
          <w:b/>
          <w:sz w:val="28"/>
          <w:szCs w:val="28"/>
        </w:rPr>
        <w:t>（二）投标函附录</w:t>
      </w:r>
      <w:bookmarkEnd w:id="308"/>
    </w:p>
    <w:tbl>
      <w:tblPr>
        <w:tblStyle w:val="1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6"/>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3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项目名称</w:t>
            </w:r>
          </w:p>
        </w:tc>
        <w:tc>
          <w:tcPr>
            <w:tcW w:w="55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3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4"/>
                <w:lang w:val="en-US" w:eastAsia="zh-CN"/>
              </w:rPr>
            </w:pPr>
            <w:r>
              <w:rPr>
                <w:rFonts w:hint="eastAsia" w:ascii="宋体" w:hAnsi="宋体"/>
                <w:sz w:val="24"/>
                <w:lang w:val="en-US" w:eastAsia="zh-CN"/>
              </w:rPr>
              <w:t>标段</w:t>
            </w:r>
          </w:p>
        </w:tc>
        <w:tc>
          <w:tcPr>
            <w:tcW w:w="55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33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供应商名称</w:t>
            </w:r>
          </w:p>
        </w:tc>
        <w:tc>
          <w:tcPr>
            <w:tcW w:w="55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346"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磋商报价（首次报价）</w:t>
            </w:r>
          </w:p>
        </w:tc>
        <w:tc>
          <w:tcPr>
            <w:tcW w:w="55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346" w:type="dxa"/>
            <w:vMerge w:val="continue"/>
            <w:tcBorders>
              <w:left w:val="single" w:color="auto" w:sz="4" w:space="0"/>
              <w:right w:val="single" w:color="auto" w:sz="4" w:space="0"/>
            </w:tcBorders>
            <w:vAlign w:val="center"/>
          </w:tcPr>
          <w:p>
            <w:pPr>
              <w:spacing w:line="360" w:lineRule="auto"/>
              <w:jc w:val="center"/>
              <w:rPr>
                <w:rFonts w:ascii="宋体" w:hAnsi="宋体"/>
                <w:sz w:val="24"/>
              </w:rPr>
            </w:pPr>
          </w:p>
        </w:tc>
        <w:tc>
          <w:tcPr>
            <w:tcW w:w="55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33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质量</w:t>
            </w:r>
          </w:p>
        </w:tc>
        <w:tc>
          <w:tcPr>
            <w:tcW w:w="55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33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4"/>
                <w:lang w:eastAsia="zh-CN"/>
              </w:rPr>
            </w:pPr>
            <w:r>
              <w:rPr>
                <w:rFonts w:hint="eastAsia" w:ascii="宋体" w:hAnsi="宋体"/>
                <w:sz w:val="24"/>
                <w:lang w:val="en-US" w:eastAsia="zh-CN"/>
              </w:rPr>
              <w:t>供货期</w:t>
            </w:r>
          </w:p>
        </w:tc>
        <w:tc>
          <w:tcPr>
            <w:tcW w:w="5594"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20" w:firstLineChars="800"/>
              <w:rPr>
                <w:rFonts w:ascii="宋体" w:hAnsi="宋体"/>
                <w:sz w:val="24"/>
              </w:rPr>
            </w:pPr>
            <w:r>
              <w:rPr>
                <w:rFonts w:hint="eastAsia" w:ascii="宋体" w:hAnsi="宋体"/>
                <w:sz w:val="24"/>
                <w:u w:val="single"/>
              </w:rPr>
              <w:t xml:space="preserve">            </w:t>
            </w:r>
            <w:r>
              <w:rPr>
                <w:rFonts w:hint="eastAsia" w:ascii="宋体" w:hAnsi="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33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磋商有效期</w:t>
            </w:r>
          </w:p>
        </w:tc>
        <w:tc>
          <w:tcPr>
            <w:tcW w:w="5594"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20" w:firstLineChars="800"/>
              <w:rPr>
                <w:rFonts w:ascii="宋体" w:hAns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3346" w:type="dxa"/>
            <w:vAlign w:val="center"/>
          </w:tcPr>
          <w:p>
            <w:pPr>
              <w:spacing w:line="360" w:lineRule="auto"/>
              <w:jc w:val="center"/>
              <w:rPr>
                <w:rFonts w:ascii="宋体" w:hAnsi="宋体"/>
                <w:sz w:val="24"/>
              </w:rPr>
            </w:pPr>
            <w:r>
              <w:rPr>
                <w:rFonts w:hint="eastAsia" w:ascii="宋体" w:hAnsi="宋体"/>
                <w:sz w:val="24"/>
              </w:rPr>
              <w:t>质保期</w:t>
            </w:r>
          </w:p>
        </w:tc>
        <w:tc>
          <w:tcPr>
            <w:tcW w:w="5594"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8940" w:type="dxa"/>
            <w:gridSpan w:val="2"/>
            <w:vAlign w:val="center"/>
          </w:tcPr>
          <w:p>
            <w:pPr>
              <w:spacing w:line="360" w:lineRule="auto"/>
              <w:rPr>
                <w:rFonts w:ascii="宋体" w:hAnsi="宋体"/>
                <w:sz w:val="24"/>
              </w:rPr>
            </w:pPr>
            <w:r>
              <w:rPr>
                <w:rFonts w:hint="eastAsia" w:ascii="宋体" w:hAnsi="宋体"/>
                <w:sz w:val="24"/>
              </w:rPr>
              <w:t>其他需要说明的问题：</w:t>
            </w:r>
          </w:p>
        </w:tc>
      </w:tr>
    </w:tbl>
    <w:p>
      <w:pPr>
        <w:spacing w:line="360" w:lineRule="auto"/>
        <w:jc w:val="right"/>
        <w:rPr>
          <w:rFonts w:ascii="宋体" w:hAnsi="宋体"/>
          <w:sz w:val="24"/>
        </w:rPr>
      </w:pPr>
    </w:p>
    <w:p>
      <w:pPr>
        <w:pStyle w:val="2"/>
        <w:ind w:firstLine="210"/>
      </w:pPr>
    </w:p>
    <w:p>
      <w:pPr>
        <w:pStyle w:val="2"/>
        <w:ind w:firstLine="210"/>
      </w:pPr>
    </w:p>
    <w:p>
      <w:pPr>
        <w:spacing w:line="360" w:lineRule="auto"/>
        <w:jc w:val="right"/>
        <w:rPr>
          <w:rFonts w:ascii="宋体" w:hAnsi="宋体"/>
          <w:sz w:val="24"/>
          <w:u w:val="single"/>
        </w:rPr>
      </w:pPr>
      <w:r>
        <w:rPr>
          <w:rFonts w:hint="eastAsia" w:ascii="宋体" w:hAnsi="宋体"/>
          <w:sz w:val="24"/>
        </w:rPr>
        <w:t xml:space="preserve">     供应商：</w:t>
      </w:r>
      <w:r>
        <w:rPr>
          <w:rFonts w:ascii="宋体" w:hAnsi="宋体"/>
          <w:sz w:val="24"/>
          <w:u w:val="single"/>
        </w:rPr>
        <w:t xml:space="preserve">                         </w:t>
      </w:r>
      <w:r>
        <w:rPr>
          <w:rFonts w:hint="eastAsia" w:ascii="宋体" w:hAnsi="宋体"/>
          <w:sz w:val="24"/>
        </w:rPr>
        <w:t>（电子签章）</w:t>
      </w:r>
    </w:p>
    <w:p>
      <w:pPr>
        <w:spacing w:line="360" w:lineRule="auto"/>
        <w:jc w:val="right"/>
        <w:rPr>
          <w:rFonts w:ascii="宋体" w:hAnsi="宋体"/>
          <w:sz w:val="24"/>
        </w:rPr>
      </w:pPr>
      <w:r>
        <w:rPr>
          <w:rFonts w:hint="eastAsia" w:ascii="宋体" w:hAnsi="宋体"/>
          <w:sz w:val="24"/>
        </w:rPr>
        <w:t>法定代表人或其委托代理人：</w:t>
      </w:r>
      <w:r>
        <w:rPr>
          <w:rFonts w:ascii="宋体" w:hAnsi="宋体"/>
          <w:sz w:val="24"/>
          <w:u w:val="single"/>
        </w:rPr>
        <w:t xml:space="preserve">            </w:t>
      </w:r>
      <w:r>
        <w:rPr>
          <w:rFonts w:hint="eastAsia" w:ascii="宋体" w:hAnsi="宋体"/>
          <w:sz w:val="24"/>
        </w:rPr>
        <w:t>（电子签章）</w:t>
      </w:r>
    </w:p>
    <w:p>
      <w:pPr>
        <w:spacing w:line="360" w:lineRule="auto"/>
        <w:jc w:val="right"/>
        <w:rPr>
          <w:rFonts w:ascii="宋体" w:hAnsi="宋体"/>
          <w:sz w:val="24"/>
        </w:rPr>
      </w:pPr>
      <w:r>
        <w:rPr>
          <w:rFonts w:hint="eastAsia" w:ascii="宋体" w:hAnsi="宋体"/>
          <w:sz w:val="24"/>
        </w:rPr>
        <w:t>日  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360" w:lineRule="auto"/>
        <w:jc w:val="right"/>
      </w:pPr>
    </w:p>
    <w:p/>
    <w:p>
      <w:r>
        <w:br w:type="page"/>
      </w:r>
    </w:p>
    <w:p>
      <w:pPr>
        <w:pStyle w:val="8"/>
        <w:numPr>
          <w:ilvl w:val="0"/>
          <w:numId w:val="0"/>
        </w:numPr>
        <w:ind w:left="0" w:leftChars="0" w:firstLine="0" w:firstLineChars="0"/>
        <w:jc w:val="center"/>
        <w:rPr>
          <w:rFonts w:hint="eastAsia" w:ascii="宋体" w:hAnsi="宋体" w:eastAsia="宋体"/>
        </w:rPr>
      </w:pPr>
      <w:bookmarkStart w:id="309" w:name="_Toc3999"/>
      <w:r>
        <w:rPr>
          <w:rFonts w:hint="eastAsia" w:ascii="宋体" w:hAnsi="宋体" w:eastAsia="宋体" w:cstheme="minorBidi"/>
          <w:color w:val="000000" w:themeColor="text1"/>
          <w:kern w:val="2"/>
          <w:sz w:val="30"/>
          <w:szCs w:val="21"/>
          <w:lang w:val="en-US" w:eastAsia="zh-CN" w:bidi="ar-SA"/>
          <w14:textFill>
            <w14:solidFill>
              <w14:schemeClr w14:val="tx1"/>
            </w14:solidFill>
          </w14:textFill>
        </w:rPr>
        <w:t>二、</w:t>
      </w:r>
      <w:r>
        <w:rPr>
          <w:rFonts w:hint="eastAsia" w:ascii="宋体" w:hAnsi="宋体" w:eastAsia="宋体"/>
        </w:rPr>
        <w:t>法定代表人身份证明</w:t>
      </w:r>
      <w:r>
        <w:rPr>
          <w:rFonts w:hint="eastAsia" w:ascii="宋体" w:hAnsi="宋体"/>
          <w:lang w:val="en-US" w:eastAsia="zh-CN"/>
        </w:rPr>
        <w:t>及</w:t>
      </w:r>
      <w:r>
        <w:rPr>
          <w:rFonts w:hint="eastAsia" w:ascii="宋体" w:hAnsi="宋体" w:eastAsia="宋体"/>
        </w:rPr>
        <w:t>授权委托书</w:t>
      </w:r>
      <w:bookmarkEnd w:id="309"/>
    </w:p>
    <w:p>
      <w:pPr>
        <w:numPr>
          <w:ilvl w:val="0"/>
          <w:numId w:val="0"/>
        </w:numPr>
      </w:pPr>
    </w:p>
    <w:p>
      <w:pPr>
        <w:spacing w:line="360" w:lineRule="auto"/>
        <w:jc w:val="center"/>
        <w:rPr>
          <w:rFonts w:ascii="宋体" w:hAnsi="宋体" w:cs="宋体"/>
          <w:szCs w:val="21"/>
        </w:rPr>
      </w:pPr>
      <w:r>
        <w:rPr>
          <w:rFonts w:hint="eastAsia" w:ascii="宋体" w:hAnsi="宋体"/>
          <w:lang w:eastAsia="zh-CN"/>
        </w:rPr>
        <w:t>（</w:t>
      </w:r>
      <w:r>
        <w:rPr>
          <w:rFonts w:hint="eastAsia" w:ascii="宋体" w:hAnsi="宋体"/>
          <w:lang w:val="en-US" w:eastAsia="zh-CN"/>
        </w:rPr>
        <w:t>一</w:t>
      </w:r>
      <w:r>
        <w:rPr>
          <w:rFonts w:hint="eastAsia" w:ascii="宋体" w:hAnsi="宋体"/>
          <w:lang w:eastAsia="zh-CN"/>
        </w:rPr>
        <w:t>）</w:t>
      </w:r>
      <w:r>
        <w:rPr>
          <w:rFonts w:hint="eastAsia" w:ascii="宋体" w:hAnsi="宋体" w:eastAsia="宋体"/>
        </w:rPr>
        <w:t>法定代表人身份证明</w:t>
      </w:r>
    </w:p>
    <w:p>
      <w:pPr>
        <w:spacing w:line="360" w:lineRule="auto"/>
        <w:ind w:firstLine="480" w:firstLineChars="200"/>
        <w:rPr>
          <w:rFonts w:ascii="宋体" w:hAnsi="宋体" w:cs="宋体"/>
          <w:sz w:val="24"/>
        </w:rPr>
      </w:pPr>
      <w:r>
        <w:rPr>
          <w:rFonts w:hint="eastAsia" w:ascii="宋体" w:hAnsi="宋体" w:cs="宋体"/>
          <w:sz w:val="24"/>
        </w:rPr>
        <w:t>供应商名称：___________________</w:t>
      </w:r>
    </w:p>
    <w:p>
      <w:pPr>
        <w:spacing w:line="360" w:lineRule="auto"/>
        <w:ind w:firstLine="480" w:firstLineChars="200"/>
        <w:rPr>
          <w:rFonts w:ascii="宋体" w:hAnsi="宋体" w:cs="宋体"/>
          <w:sz w:val="24"/>
        </w:rPr>
      </w:pPr>
      <w:r>
        <w:rPr>
          <w:rFonts w:hint="eastAsia" w:ascii="宋体" w:hAnsi="宋体" w:cs="宋体"/>
          <w:sz w:val="24"/>
        </w:rPr>
        <w:t>单位性质：___________________</w:t>
      </w:r>
    </w:p>
    <w:p>
      <w:pPr>
        <w:spacing w:line="360" w:lineRule="auto"/>
        <w:ind w:firstLine="480" w:firstLineChars="200"/>
        <w:rPr>
          <w:rFonts w:ascii="宋体" w:hAnsi="宋体" w:cs="宋体"/>
          <w:sz w:val="24"/>
        </w:rPr>
      </w:pPr>
      <w:r>
        <w:rPr>
          <w:rFonts w:hint="eastAsia" w:ascii="宋体" w:hAnsi="宋体" w:cs="宋体"/>
          <w:sz w:val="24"/>
        </w:rPr>
        <w:t>地址：_________________________</w:t>
      </w:r>
    </w:p>
    <w:p>
      <w:pPr>
        <w:spacing w:line="360" w:lineRule="auto"/>
        <w:ind w:firstLine="480" w:firstLineChars="200"/>
        <w:rPr>
          <w:rFonts w:ascii="宋体" w:hAnsi="宋体" w:cs="宋体"/>
          <w:sz w:val="24"/>
        </w:rPr>
      </w:pPr>
      <w:r>
        <w:rPr>
          <w:rFonts w:hint="eastAsia" w:ascii="宋体" w:hAnsi="宋体" w:cs="宋体"/>
          <w:sz w:val="24"/>
        </w:rPr>
        <w:t>成立时间：_______年______月____日</w:t>
      </w:r>
    </w:p>
    <w:p>
      <w:pPr>
        <w:spacing w:line="360" w:lineRule="auto"/>
        <w:ind w:firstLine="480" w:firstLineChars="200"/>
        <w:rPr>
          <w:rFonts w:ascii="宋体" w:hAnsi="宋体" w:cs="宋体"/>
          <w:sz w:val="24"/>
        </w:rPr>
      </w:pPr>
      <w:r>
        <w:rPr>
          <w:rFonts w:hint="eastAsia" w:ascii="宋体" w:hAnsi="宋体" w:cs="宋体"/>
          <w:sz w:val="24"/>
        </w:rPr>
        <w:t>经营期限：___________________</w:t>
      </w:r>
    </w:p>
    <w:p>
      <w:pPr>
        <w:spacing w:line="360" w:lineRule="auto"/>
        <w:ind w:firstLine="480" w:firstLineChars="200"/>
        <w:rPr>
          <w:rFonts w:ascii="宋体" w:hAnsi="宋体" w:cs="宋体"/>
          <w:sz w:val="24"/>
        </w:rPr>
      </w:pPr>
      <w:r>
        <w:rPr>
          <w:rFonts w:hint="eastAsia" w:ascii="宋体" w:hAnsi="宋体" w:cs="宋体"/>
          <w:sz w:val="24"/>
        </w:rPr>
        <w:t>姓名：__________ 性别：__________年龄：__________职务：______</w:t>
      </w:r>
    </w:p>
    <w:p>
      <w:pPr>
        <w:spacing w:line="360" w:lineRule="auto"/>
        <w:ind w:firstLine="480" w:firstLineChars="200"/>
        <w:rPr>
          <w:rFonts w:ascii="宋体" w:hAnsi="宋体" w:cs="宋体"/>
          <w:sz w:val="24"/>
        </w:rPr>
      </w:pPr>
      <w:r>
        <w:rPr>
          <w:rFonts w:hint="eastAsia" w:ascii="宋体" w:hAnsi="宋体" w:cs="宋体"/>
          <w:sz w:val="24"/>
        </w:rPr>
        <w:t>系_____________________________（供应商名称）的法定代表人。</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特此证明。</w:t>
      </w:r>
    </w:p>
    <w:p>
      <w:pPr>
        <w:spacing w:line="360" w:lineRule="auto"/>
        <w:ind w:firstLine="480" w:firstLineChars="200"/>
        <w:rPr>
          <w:rFonts w:ascii="宋体" w:hAnsi="宋体" w:cs="宋体"/>
          <w:sz w:val="24"/>
        </w:rPr>
      </w:pPr>
      <w:r>
        <w:rPr>
          <w:rFonts w:hint="eastAsia" w:ascii="宋体" w:hAnsi="宋体" w:cs="宋体"/>
          <w:sz w:val="24"/>
        </w:rPr>
        <w:t>附：法定代表人身份证复印件</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ind w:firstLine="4560" w:firstLineChars="1900"/>
        <w:rPr>
          <w:rFonts w:ascii="宋体" w:hAnsi="宋体" w:cs="宋体"/>
          <w:sz w:val="24"/>
        </w:rPr>
      </w:pPr>
      <w:r>
        <w:rPr>
          <w:rFonts w:hint="eastAsia" w:ascii="宋体" w:hAnsi="宋体" w:cs="宋体"/>
          <w:sz w:val="24"/>
        </w:rPr>
        <w:t>供应商：</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（电子签章）</w:t>
      </w:r>
    </w:p>
    <w:p>
      <w:pPr>
        <w:spacing w:line="360" w:lineRule="auto"/>
        <w:ind w:firstLine="4560" w:firstLineChars="1900"/>
        <w:rPr>
          <w:rFonts w:ascii="宋体" w:hAnsi="宋体" w:cs="宋体"/>
          <w:sz w:val="24"/>
        </w:rPr>
      </w:pPr>
      <w:r>
        <w:rPr>
          <w:rFonts w:hint="eastAsia" w:ascii="宋体" w:hAnsi="宋体" w:cs="宋体"/>
          <w:sz w:val="24"/>
        </w:rPr>
        <w:t>日期：_____年_____月_____日</w:t>
      </w:r>
    </w:p>
    <w:p/>
    <w:p>
      <w:r>
        <w:br w:type="page"/>
      </w:r>
    </w:p>
    <w:p>
      <w:pPr>
        <w:pStyle w:val="8"/>
        <w:jc w:val="center"/>
        <w:rPr>
          <w:rFonts w:ascii="宋体" w:hAnsi="宋体" w:eastAsia="宋体"/>
        </w:rPr>
      </w:pPr>
      <w:bookmarkStart w:id="310" w:name="_Toc19122"/>
      <w:r>
        <w:rPr>
          <w:rFonts w:hint="eastAsia" w:ascii="宋体" w:hAnsi="宋体"/>
          <w:lang w:eastAsia="zh-CN"/>
        </w:rPr>
        <w:t>（</w:t>
      </w:r>
      <w:r>
        <w:rPr>
          <w:rFonts w:hint="eastAsia" w:ascii="宋体" w:hAnsi="宋体"/>
          <w:lang w:val="en-US" w:eastAsia="zh-CN"/>
        </w:rPr>
        <w:t>二</w:t>
      </w:r>
      <w:r>
        <w:rPr>
          <w:rFonts w:hint="eastAsia" w:ascii="宋体" w:hAnsi="宋体"/>
          <w:lang w:eastAsia="zh-CN"/>
        </w:rPr>
        <w:t>）</w:t>
      </w:r>
      <w:r>
        <w:rPr>
          <w:rFonts w:hint="eastAsia" w:ascii="宋体" w:hAnsi="宋体" w:eastAsia="宋体"/>
        </w:rPr>
        <w:t>、授权委托书</w:t>
      </w:r>
      <w:bookmarkEnd w:id="310"/>
    </w:p>
    <w:p>
      <w:pPr>
        <w:topLinePunct/>
        <w:spacing w:line="360" w:lineRule="auto"/>
        <w:ind w:firstLine="480" w:firstLineChars="200"/>
        <w:rPr>
          <w:rFonts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（供应商名称）的法定代表人，现委托</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（姓名）为我方代理人。代理人根据授权，以我方名义签署、澄清、说明、补正、递交、撤回、修改</w:t>
      </w:r>
      <w:r>
        <w:rPr>
          <w:rFonts w:hint="eastAsia" w:ascii="宋体" w:hAnsi="宋体" w:cs="宋体"/>
          <w:sz w:val="24"/>
          <w:u w:val="single"/>
        </w:rPr>
        <w:t xml:space="preserve">                                 </w:t>
      </w:r>
      <w:r>
        <w:rPr>
          <w:rFonts w:hint="eastAsia" w:ascii="宋体" w:hAnsi="宋体" w:cs="宋体"/>
          <w:sz w:val="24"/>
        </w:rPr>
        <w:t>（项目名称</w:t>
      </w:r>
      <w:r>
        <w:rPr>
          <w:rFonts w:hint="eastAsia" w:ascii="宋体" w:hAnsi="宋体" w:cs="宋体"/>
          <w:sz w:val="24"/>
          <w:lang w:eastAsia="zh-CN"/>
        </w:rPr>
        <w:t>、</w:t>
      </w:r>
      <w:r>
        <w:rPr>
          <w:rFonts w:hint="eastAsia" w:ascii="宋体" w:hAnsi="宋体" w:cs="宋体"/>
          <w:sz w:val="24"/>
          <w:lang w:val="en-US" w:eastAsia="zh-CN"/>
        </w:rPr>
        <w:t>标段</w:t>
      </w:r>
      <w:r>
        <w:rPr>
          <w:rFonts w:hint="eastAsia" w:ascii="宋体" w:hAnsi="宋体" w:cs="宋体"/>
          <w:sz w:val="24"/>
        </w:rPr>
        <w:t>）响应文件、签订合同和处理有关事宜，其法律后果由我方承担。</w:t>
      </w:r>
    </w:p>
    <w:p>
      <w:pPr>
        <w:spacing w:line="360" w:lineRule="auto"/>
        <w:rPr>
          <w:rFonts w:ascii="宋体" w:hAnsi="宋体" w:cs="宋体"/>
          <w:sz w:val="24"/>
        </w:rPr>
      </w:pPr>
      <w:r>
        <w:rPr>
          <w:rFonts w:hint="eastAsia" w:ascii="宋体" w:hAnsi="宋体" w:cs="宋体"/>
          <w:sz w:val="24"/>
        </w:rPr>
        <w:t xml:space="preserve">    委托期限：</w:t>
      </w:r>
      <w:r>
        <w:rPr>
          <w:rFonts w:hint="eastAsia" w:ascii="宋体" w:hAnsi="宋体" w:cs="宋体"/>
          <w:sz w:val="24"/>
          <w:u w:val="single"/>
        </w:rPr>
        <w:t xml:space="preserve"> </w:t>
      </w:r>
      <w:r>
        <w:rPr>
          <w:rFonts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代理人无转委托权。</w:t>
      </w:r>
    </w:p>
    <w:p>
      <w:pPr>
        <w:spacing w:line="360" w:lineRule="auto"/>
        <w:ind w:firstLine="480" w:firstLineChars="200"/>
        <w:rPr>
          <w:rFonts w:ascii="宋体" w:hAnsi="宋体" w:cs="宋体"/>
          <w:sz w:val="24"/>
        </w:rPr>
      </w:pPr>
      <w:r>
        <w:rPr>
          <w:rFonts w:hint="eastAsia" w:ascii="宋体" w:hAnsi="宋体" w:cs="宋体"/>
          <w:sz w:val="24"/>
        </w:rPr>
        <w:t>附：法定代表人及委托代理人身份证复印件</w:t>
      </w:r>
    </w:p>
    <w:p>
      <w:pPr>
        <w:spacing w:line="360" w:lineRule="auto"/>
        <w:ind w:firstLine="420" w:firstLineChars="200"/>
        <w:rPr>
          <w:rFonts w:ascii="宋体" w:hAnsi="宋体" w:cs="宋体"/>
          <w:szCs w:val="21"/>
        </w:rPr>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400" w:firstLineChars="1000"/>
        <w:rPr>
          <w:sz w:val="24"/>
        </w:rPr>
      </w:pPr>
      <w:r>
        <w:rPr>
          <w:rFonts w:hint="eastAsia"/>
          <w:sz w:val="24"/>
        </w:rPr>
        <w:t>供应商：</w:t>
      </w:r>
      <w:r>
        <w:rPr>
          <w:rFonts w:hint="eastAsia"/>
          <w:sz w:val="24"/>
          <w:u w:val="single"/>
        </w:rPr>
        <w:t xml:space="preserve">                        </w:t>
      </w:r>
      <w:r>
        <w:rPr>
          <w:rFonts w:hint="eastAsia"/>
          <w:sz w:val="24"/>
        </w:rPr>
        <w:t>（</w:t>
      </w:r>
      <w:r>
        <w:rPr>
          <w:rFonts w:hint="eastAsia" w:ascii="宋体" w:hAnsi="宋体" w:cs="宋体"/>
          <w:sz w:val="24"/>
        </w:rPr>
        <w:t>电子签章</w:t>
      </w:r>
      <w:r>
        <w:rPr>
          <w:rFonts w:hint="eastAsia"/>
          <w:sz w:val="24"/>
        </w:rPr>
        <w:t>）</w:t>
      </w:r>
    </w:p>
    <w:p>
      <w:pPr>
        <w:pStyle w:val="2"/>
        <w:ind w:firstLine="2400" w:firstLineChars="1000"/>
        <w:rPr>
          <w:sz w:val="24"/>
        </w:rPr>
      </w:pPr>
      <w:r>
        <w:rPr>
          <w:rFonts w:hint="eastAsia"/>
          <w:sz w:val="24"/>
        </w:rPr>
        <w:t>法定代表人：</w:t>
      </w:r>
      <w:r>
        <w:rPr>
          <w:rFonts w:hint="eastAsia"/>
          <w:sz w:val="24"/>
          <w:u w:val="single"/>
        </w:rPr>
        <w:t xml:space="preserve">                    </w:t>
      </w:r>
      <w:r>
        <w:rPr>
          <w:rFonts w:hint="eastAsia"/>
          <w:sz w:val="24"/>
        </w:rPr>
        <w:t>（</w:t>
      </w:r>
      <w:r>
        <w:rPr>
          <w:rFonts w:hint="eastAsia" w:ascii="宋体" w:hAnsi="宋体" w:cs="宋体"/>
          <w:sz w:val="24"/>
        </w:rPr>
        <w:t>电子签章</w:t>
      </w:r>
      <w:r>
        <w:rPr>
          <w:rFonts w:hint="eastAsia"/>
          <w:sz w:val="24"/>
        </w:rPr>
        <w:t>）</w:t>
      </w:r>
    </w:p>
    <w:p>
      <w:pPr>
        <w:pStyle w:val="2"/>
        <w:ind w:firstLine="2340" w:firstLineChars="975"/>
        <w:rPr>
          <w:sz w:val="24"/>
        </w:rPr>
      </w:pPr>
      <w:r>
        <w:rPr>
          <w:rFonts w:hint="eastAsia" w:ascii="宋体" w:hAnsi="宋体" w:cs="宋体"/>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pStyle w:val="2"/>
        <w:ind w:firstLine="210"/>
      </w:pPr>
    </w:p>
    <w:p>
      <w:r>
        <w:br w:type="page"/>
      </w:r>
    </w:p>
    <w:p>
      <w:pPr>
        <w:pStyle w:val="8"/>
        <w:bidi w:val="0"/>
        <w:rPr>
          <w:rFonts w:hint="default"/>
          <w:lang w:val="en-US" w:eastAsia="zh-CN"/>
        </w:rPr>
      </w:pPr>
      <w:bookmarkStart w:id="311" w:name="_Toc25312"/>
      <w:r>
        <w:rPr>
          <w:rFonts w:hint="eastAsia"/>
          <w:lang w:val="en-US" w:eastAsia="zh-CN"/>
        </w:rPr>
        <w:t>三、分项报价一览表</w:t>
      </w:r>
      <w:bookmarkEnd w:id="311"/>
    </w:p>
    <w:p>
      <w:pPr>
        <w:snapToGrid w:val="0"/>
        <w:spacing w:before="50"/>
        <w:ind w:firstLine="6240" w:firstLineChars="2600"/>
        <w:rPr>
          <w:rFonts w:ascii="宋体" w:hAnsi="宋体"/>
          <w:sz w:val="24"/>
        </w:rPr>
      </w:pPr>
      <w:r>
        <w:rPr>
          <w:rFonts w:hint="eastAsia" w:ascii="宋体" w:hAnsi="宋体"/>
          <w:sz w:val="24"/>
        </w:rPr>
        <w:t xml:space="preserve"> 金额单位：人民币（元）</w:t>
      </w:r>
    </w:p>
    <w:tbl>
      <w:tblPr>
        <w:tblStyle w:val="17"/>
        <w:tblW w:w="993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8"/>
        <w:gridCol w:w="1710"/>
        <w:gridCol w:w="734"/>
        <w:gridCol w:w="979"/>
        <w:gridCol w:w="1665"/>
        <w:gridCol w:w="816"/>
        <w:gridCol w:w="1531"/>
        <w:gridCol w:w="1134"/>
        <w:gridCol w:w="9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3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spacing w:val="20"/>
                <w:sz w:val="24"/>
              </w:rPr>
            </w:pPr>
            <w:r>
              <w:rPr>
                <w:rFonts w:hint="eastAsia" w:ascii="宋体" w:hAnsi="宋体"/>
                <w:sz w:val="24"/>
              </w:rPr>
              <w:t>序号</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spacing w:val="20"/>
                <w:sz w:val="24"/>
              </w:rPr>
            </w:pPr>
            <w:r>
              <w:rPr>
                <w:rFonts w:hint="eastAsia" w:ascii="宋体" w:hAnsi="宋体"/>
                <w:sz w:val="24"/>
              </w:rPr>
              <w:t>货物名称</w:t>
            </w:r>
          </w:p>
        </w:tc>
        <w:tc>
          <w:tcPr>
            <w:tcW w:w="734" w:type="dxa"/>
            <w:tcBorders>
              <w:top w:val="single" w:color="auto" w:sz="4" w:space="0"/>
              <w:left w:val="single" w:color="auto" w:sz="4" w:space="0"/>
              <w:bottom w:val="single" w:color="auto" w:sz="4" w:space="0"/>
              <w:right w:val="single" w:color="auto" w:sz="4" w:space="0"/>
            </w:tcBorders>
            <w:noWrap w:val="0"/>
            <w:vAlign w:val="center"/>
          </w:tcPr>
          <w:p>
            <w:pPr>
              <w:pStyle w:val="25"/>
              <w:rPr>
                <w:rFonts w:ascii="宋体" w:hAnsi="宋体" w:eastAsia="宋体"/>
              </w:rPr>
            </w:pPr>
            <w:r>
              <w:rPr>
                <w:rFonts w:hint="eastAsia" w:ascii="宋体" w:hAnsi="宋体" w:eastAsia="宋体"/>
              </w:rPr>
              <w:t>品牌</w:t>
            </w:r>
          </w:p>
        </w:tc>
        <w:tc>
          <w:tcPr>
            <w:tcW w:w="97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spacing w:val="20"/>
                <w:sz w:val="24"/>
              </w:rPr>
            </w:pPr>
            <w:r>
              <w:rPr>
                <w:rFonts w:hint="eastAsia" w:ascii="宋体" w:hAnsi="宋体"/>
                <w:sz w:val="24"/>
              </w:rPr>
              <w:t>规格型号</w:t>
            </w:r>
          </w:p>
        </w:tc>
        <w:tc>
          <w:tcPr>
            <w:tcW w:w="166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z w:val="24"/>
              </w:rPr>
            </w:pPr>
          </w:p>
          <w:p>
            <w:pPr>
              <w:tabs>
                <w:tab w:val="left" w:pos="1418"/>
              </w:tabs>
              <w:snapToGrid w:val="0"/>
              <w:spacing w:before="50" w:after="50"/>
              <w:jc w:val="center"/>
              <w:rPr>
                <w:rFonts w:ascii="宋体" w:hAnsi="宋体"/>
                <w:sz w:val="24"/>
              </w:rPr>
            </w:pPr>
            <w:r>
              <w:rPr>
                <w:rFonts w:hint="eastAsia" w:ascii="宋体" w:hAnsi="宋体"/>
                <w:sz w:val="24"/>
              </w:rPr>
              <w:t>制造商名称</w:t>
            </w:r>
          </w:p>
        </w:tc>
        <w:tc>
          <w:tcPr>
            <w:tcW w:w="81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spacing w:val="20"/>
                <w:sz w:val="24"/>
              </w:rPr>
            </w:pPr>
            <w:r>
              <w:rPr>
                <w:rFonts w:hint="eastAsia" w:ascii="宋体" w:hAnsi="宋体"/>
                <w:sz w:val="24"/>
              </w:rPr>
              <w:t>单位</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sz w:val="24"/>
              </w:rPr>
            </w:pPr>
            <w:r>
              <w:rPr>
                <w:rFonts w:hint="eastAsia" w:ascii="宋体" w:hAnsi="宋体"/>
                <w:sz w:val="24"/>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spacing w:val="20"/>
                <w:sz w:val="24"/>
              </w:rPr>
            </w:pPr>
            <w:r>
              <w:rPr>
                <w:rFonts w:hint="eastAsia" w:ascii="宋体" w:hAnsi="宋体"/>
                <w:sz w:val="24"/>
              </w:rPr>
              <w:t>单价</w:t>
            </w:r>
          </w:p>
        </w:tc>
        <w:tc>
          <w:tcPr>
            <w:tcW w:w="92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spacing w:val="20"/>
                <w:sz w:val="24"/>
              </w:rPr>
            </w:pPr>
            <w:r>
              <w:rPr>
                <w:rFonts w:hint="eastAsia" w:ascii="宋体" w:hAnsi="宋体"/>
                <w:sz w:val="24"/>
              </w:rPr>
              <w:t>合价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43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97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15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92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43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97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15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92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43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97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15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92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43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97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15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92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43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97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15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92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43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97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15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92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43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default" w:ascii="宋体" w:hAnsi="宋体" w:eastAsia="宋体"/>
                <w:spacing w:val="20"/>
                <w:sz w:val="24"/>
                <w:lang w:val="en-US" w:eastAsia="zh-CN"/>
              </w:rPr>
            </w:pPr>
            <w:r>
              <w:rPr>
                <w:rFonts w:hint="eastAsia" w:ascii="宋体" w:hAnsi="宋体"/>
                <w:spacing w:val="20"/>
                <w:sz w:val="24"/>
                <w:lang w:val="en-US" w:eastAsia="zh-CN"/>
              </w:rPr>
              <w:t>...</w:t>
            </w:r>
          </w:p>
        </w:tc>
        <w:tc>
          <w:tcPr>
            <w:tcW w:w="7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97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15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c>
          <w:tcPr>
            <w:tcW w:w="92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9007" w:type="dxa"/>
            <w:gridSpan w:val="8"/>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r>
              <w:rPr>
                <w:rFonts w:hint="eastAsia" w:ascii="宋体" w:hAnsi="宋体"/>
                <w:spacing w:val="20"/>
                <w:sz w:val="24"/>
              </w:rPr>
              <w:t>投 标 总  价</w:t>
            </w:r>
          </w:p>
        </w:tc>
        <w:tc>
          <w:tcPr>
            <w:tcW w:w="92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spacing w:val="20"/>
                <w:sz w:val="24"/>
              </w:rPr>
            </w:pPr>
          </w:p>
        </w:tc>
      </w:tr>
    </w:tbl>
    <w:p>
      <w:pPr>
        <w:rPr>
          <w:rFonts w:ascii="宋体" w:hAnsi="宋体"/>
          <w:spacing w:val="20"/>
          <w:sz w:val="24"/>
        </w:rPr>
      </w:pPr>
    </w:p>
    <w:p>
      <w:pPr>
        <w:rPr>
          <w:rFonts w:ascii="宋体" w:hAnsi="宋体"/>
          <w:spacing w:val="20"/>
          <w:sz w:val="24"/>
        </w:rPr>
      </w:pPr>
    </w:p>
    <w:p>
      <w:pPr>
        <w:rPr>
          <w:rFonts w:ascii="宋体" w:hAnsi="宋体"/>
          <w:spacing w:val="20"/>
          <w:sz w:val="24"/>
        </w:rPr>
      </w:pPr>
    </w:p>
    <w:p>
      <w:pPr>
        <w:pStyle w:val="2"/>
        <w:rPr>
          <w:rFonts w:hint="eastAsia"/>
        </w:rPr>
      </w:pPr>
    </w:p>
    <w:p>
      <w:pPr>
        <w:pStyle w:val="5"/>
        <w:rPr>
          <w:rFonts w:hint="eastAsia"/>
        </w:rPr>
      </w:pPr>
    </w:p>
    <w:p>
      <w:pPr>
        <w:pStyle w:val="2"/>
        <w:rPr>
          <w:rFonts w:hint="eastAsia"/>
        </w:rPr>
      </w:pPr>
    </w:p>
    <w:p>
      <w:pPr>
        <w:pStyle w:val="5"/>
        <w:rPr>
          <w:rFonts w:hint="eastAsia"/>
        </w:rPr>
      </w:pPr>
    </w:p>
    <w:p>
      <w:pPr>
        <w:pStyle w:val="2"/>
        <w:rPr>
          <w:rFonts w:hint="eastAsia"/>
        </w:rPr>
      </w:pPr>
    </w:p>
    <w:p>
      <w:pPr>
        <w:pStyle w:val="2"/>
        <w:ind w:firstLine="2400" w:firstLineChars="1000"/>
        <w:rPr>
          <w:sz w:val="24"/>
        </w:rPr>
      </w:pPr>
      <w:r>
        <w:rPr>
          <w:rFonts w:hint="eastAsia"/>
          <w:sz w:val="24"/>
        </w:rPr>
        <w:t>供应商：</w:t>
      </w:r>
      <w:r>
        <w:rPr>
          <w:rFonts w:hint="eastAsia"/>
          <w:sz w:val="24"/>
          <w:u w:val="single"/>
        </w:rPr>
        <w:t xml:space="preserve">                        </w:t>
      </w:r>
      <w:r>
        <w:rPr>
          <w:rFonts w:hint="eastAsia"/>
          <w:sz w:val="24"/>
        </w:rPr>
        <w:t>（</w:t>
      </w:r>
      <w:r>
        <w:rPr>
          <w:rFonts w:hint="eastAsia" w:ascii="宋体" w:hAnsi="宋体" w:cs="宋体"/>
          <w:sz w:val="24"/>
        </w:rPr>
        <w:t>电子签章</w:t>
      </w:r>
      <w:r>
        <w:rPr>
          <w:rFonts w:hint="eastAsia"/>
          <w:sz w:val="24"/>
        </w:rPr>
        <w:t>）</w:t>
      </w:r>
    </w:p>
    <w:p>
      <w:pPr>
        <w:pStyle w:val="2"/>
        <w:ind w:firstLine="2400" w:firstLineChars="1000"/>
        <w:rPr>
          <w:sz w:val="24"/>
        </w:rPr>
      </w:pPr>
      <w:r>
        <w:rPr>
          <w:rFonts w:hint="eastAsia"/>
          <w:sz w:val="24"/>
        </w:rPr>
        <w:t>法定代表人：</w:t>
      </w:r>
      <w:r>
        <w:rPr>
          <w:rFonts w:hint="eastAsia"/>
          <w:sz w:val="24"/>
          <w:u w:val="single"/>
        </w:rPr>
        <w:t xml:space="preserve">                    </w:t>
      </w:r>
      <w:r>
        <w:rPr>
          <w:rFonts w:hint="eastAsia"/>
          <w:sz w:val="24"/>
        </w:rPr>
        <w:t>（</w:t>
      </w:r>
      <w:r>
        <w:rPr>
          <w:rFonts w:hint="eastAsia" w:ascii="宋体" w:hAnsi="宋体" w:cs="宋体"/>
          <w:sz w:val="24"/>
        </w:rPr>
        <w:t>电子签章</w:t>
      </w:r>
      <w:r>
        <w:rPr>
          <w:rFonts w:hint="eastAsia"/>
          <w:sz w:val="24"/>
        </w:rPr>
        <w:t>）</w:t>
      </w:r>
    </w:p>
    <w:p>
      <w:pPr>
        <w:pStyle w:val="2"/>
        <w:ind w:firstLine="2340" w:firstLineChars="975"/>
        <w:rPr>
          <w:sz w:val="24"/>
        </w:rPr>
      </w:pPr>
      <w:r>
        <w:rPr>
          <w:rFonts w:hint="eastAsia" w:ascii="宋体" w:hAnsi="宋体" w:cs="宋体"/>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pStyle w:val="5"/>
        <w:rPr>
          <w:rFonts w:hint="eastAsia"/>
        </w:rPr>
      </w:pPr>
    </w:p>
    <w:p>
      <w:pPr>
        <w:pStyle w:val="2"/>
        <w:rPr>
          <w:rFonts w:hint="eastAsia"/>
        </w:rPr>
      </w:pPr>
    </w:p>
    <w:p>
      <w:pPr>
        <w:pStyle w:val="5"/>
        <w:rPr>
          <w:rFonts w:hint="eastAsia"/>
        </w:rPr>
      </w:pPr>
    </w:p>
    <w:p>
      <w:pPr>
        <w:pStyle w:val="2"/>
        <w:rPr>
          <w:rFonts w:hint="eastAsia"/>
        </w:rPr>
      </w:pPr>
    </w:p>
    <w:p>
      <w:pPr>
        <w:pStyle w:val="5"/>
        <w:rPr>
          <w:rFonts w:hint="eastAsia"/>
        </w:rPr>
      </w:pPr>
    </w:p>
    <w:p>
      <w:pPr>
        <w:pStyle w:val="2"/>
        <w:rPr>
          <w:rFonts w:hint="eastAsia"/>
        </w:rPr>
      </w:pPr>
    </w:p>
    <w:p>
      <w:pPr>
        <w:pStyle w:val="5"/>
        <w:rPr>
          <w:rFonts w:hint="eastAsia"/>
        </w:rPr>
      </w:pPr>
    </w:p>
    <w:p>
      <w:pPr>
        <w:pStyle w:val="5"/>
        <w:rPr>
          <w:rFonts w:hint="eastAsia"/>
        </w:rPr>
      </w:pPr>
    </w:p>
    <w:p>
      <w:pPr>
        <w:pStyle w:val="2"/>
        <w:rPr>
          <w:rFonts w:hint="eastAsia"/>
        </w:rPr>
      </w:pPr>
    </w:p>
    <w:p>
      <w:pPr>
        <w:pStyle w:val="8"/>
        <w:jc w:val="center"/>
        <w:rPr>
          <w:rFonts w:ascii="宋体" w:hAnsi="宋体" w:eastAsia="宋体"/>
        </w:rPr>
      </w:pPr>
      <w:bookmarkStart w:id="312" w:name="_Toc26069"/>
      <w:r>
        <w:rPr>
          <w:rFonts w:hint="eastAsia" w:ascii="宋体" w:hAnsi="宋体" w:eastAsia="宋体"/>
        </w:rPr>
        <w:t>四、已标价工程量清单</w:t>
      </w:r>
      <w:bookmarkEnd w:id="312"/>
    </w:p>
    <w:p>
      <w:pPr>
        <w:pStyle w:val="2"/>
        <w:ind w:firstLine="0" w:firstLineChars="0"/>
      </w:pPr>
    </w:p>
    <w:p>
      <w:r>
        <w:br w:type="page"/>
      </w:r>
    </w:p>
    <w:p>
      <w:pPr>
        <w:spacing w:line="360" w:lineRule="auto"/>
        <w:jc w:val="center"/>
        <w:outlineLvl w:val="1"/>
        <w:rPr>
          <w:rFonts w:hint="default" w:ascii="宋体" w:hAnsi="宋体" w:eastAsia="宋体" w:cs="宋体"/>
          <w:b/>
          <w:sz w:val="32"/>
          <w:szCs w:val="32"/>
          <w:lang w:val="en-US" w:eastAsia="zh-CN"/>
        </w:rPr>
      </w:pPr>
      <w:bookmarkStart w:id="313" w:name="_Toc17261"/>
      <w:r>
        <w:rPr>
          <w:rFonts w:hint="eastAsia" w:ascii="宋体" w:hAnsi="宋体" w:cs="宋体"/>
          <w:b/>
          <w:sz w:val="32"/>
          <w:szCs w:val="32"/>
        </w:rPr>
        <w:t>五、</w:t>
      </w:r>
      <w:r>
        <w:rPr>
          <w:rFonts w:hint="eastAsia" w:ascii="宋体" w:hAnsi="宋体" w:cs="宋体"/>
          <w:b/>
          <w:sz w:val="32"/>
          <w:szCs w:val="32"/>
          <w:lang w:val="en-US" w:eastAsia="zh-CN"/>
        </w:rPr>
        <w:t>技术服务方案</w:t>
      </w:r>
      <w:bookmarkEnd w:id="313"/>
    </w:p>
    <w:p>
      <w:pPr>
        <w:spacing w:line="360" w:lineRule="auto"/>
        <w:jc w:val="center"/>
        <w:rPr>
          <w:rFonts w:hint="default" w:ascii="宋体" w:hAnsi="宋体" w:eastAsia="宋体" w:cs="宋体"/>
          <w:szCs w:val="21"/>
          <w:lang w:val="en-US" w:eastAsia="zh-CN"/>
        </w:rPr>
      </w:pPr>
      <w:r>
        <w:rPr>
          <w:rFonts w:hint="eastAsia" w:ascii="宋体" w:hAnsi="宋体" w:cs="宋体"/>
          <w:szCs w:val="21"/>
        </w:rPr>
        <w:t>结合项目实际情况编制完整详细的</w:t>
      </w:r>
      <w:r>
        <w:rPr>
          <w:rFonts w:hint="eastAsia" w:ascii="宋体" w:hAnsi="宋体" w:cs="宋体"/>
          <w:szCs w:val="21"/>
          <w:lang w:val="en-US" w:eastAsia="zh-CN"/>
        </w:rPr>
        <w:t>技术方案</w:t>
      </w:r>
    </w:p>
    <w:p>
      <w:pPr>
        <w:spacing w:line="360" w:lineRule="auto"/>
        <w:rPr>
          <w:rFonts w:ascii="宋体" w:hAnsi="宋体" w:cs="宋体"/>
          <w:szCs w:val="21"/>
        </w:rPr>
      </w:pPr>
    </w:p>
    <w:p>
      <w:r>
        <w:br w:type="page"/>
      </w:r>
    </w:p>
    <w:p>
      <w:pPr>
        <w:pStyle w:val="8"/>
        <w:bidi w:val="0"/>
        <w:rPr>
          <w:rFonts w:hint="eastAsia"/>
          <w:b/>
          <w:bCs/>
        </w:rPr>
      </w:pPr>
      <w:bookmarkStart w:id="314" w:name="_Toc23663"/>
      <w:r>
        <w:rPr>
          <w:rFonts w:hint="eastAsia"/>
          <w:b/>
          <w:bCs/>
          <w:lang w:val="en-US" w:eastAsia="zh-CN"/>
        </w:rPr>
        <w:t>六、</w:t>
      </w:r>
      <w:r>
        <w:rPr>
          <w:rFonts w:hint="eastAsia"/>
          <w:b/>
          <w:bCs/>
        </w:rPr>
        <w:t>商务和技术偏离表</w:t>
      </w:r>
      <w:bookmarkEnd w:id="314"/>
    </w:p>
    <w:p>
      <w:pPr>
        <w:bidi w:val="0"/>
      </w:pPr>
    </w:p>
    <w:p>
      <w:pPr>
        <w:widowControl/>
        <w:jc w:val="center"/>
        <w:rPr>
          <w:rFonts w:ascii="宋体" w:hAnsi="宋体" w:cs="宋体"/>
          <w:sz w:val="24"/>
          <w:szCs w:val="28"/>
        </w:rPr>
      </w:pPr>
      <w:r>
        <w:rPr>
          <w:rFonts w:hint="eastAsia" w:ascii="宋体" w:hAnsi="宋体" w:cs="宋体"/>
          <w:sz w:val="24"/>
          <w:szCs w:val="28"/>
        </w:rPr>
        <w:t>（1）商务偏离表</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2551"/>
        <w:gridCol w:w="2886"/>
        <w:gridCol w:w="2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shd w:val="clear" w:color="auto" w:fill="auto"/>
            <w:noWrap w:val="0"/>
            <w:vAlign w:val="top"/>
          </w:tcPr>
          <w:p>
            <w:pPr>
              <w:widowControl/>
              <w:jc w:val="center"/>
              <w:rPr>
                <w:rFonts w:ascii="宋体" w:hAnsi="宋体" w:cs="宋体"/>
                <w:sz w:val="18"/>
                <w:szCs w:val="18"/>
              </w:rPr>
            </w:pPr>
            <w:r>
              <w:rPr>
                <w:rFonts w:hint="eastAsia" w:ascii="宋体" w:hAnsi="宋体" w:cs="宋体"/>
                <w:sz w:val="18"/>
                <w:szCs w:val="18"/>
              </w:rPr>
              <w:t>序号</w:t>
            </w:r>
          </w:p>
        </w:tc>
        <w:tc>
          <w:tcPr>
            <w:tcW w:w="2551" w:type="dxa"/>
            <w:shd w:val="clear" w:color="auto" w:fill="auto"/>
            <w:noWrap w:val="0"/>
            <w:vAlign w:val="top"/>
          </w:tcPr>
          <w:p>
            <w:pPr>
              <w:widowControl/>
              <w:jc w:val="center"/>
              <w:rPr>
                <w:rFonts w:ascii="宋体" w:hAnsi="宋体" w:cs="宋体"/>
                <w:sz w:val="18"/>
                <w:szCs w:val="18"/>
              </w:rPr>
            </w:pPr>
            <w:r>
              <w:rPr>
                <w:rFonts w:hint="eastAsia" w:ascii="宋体" w:hAnsi="宋体" w:cs="宋体"/>
                <w:sz w:val="18"/>
                <w:szCs w:val="18"/>
              </w:rPr>
              <w:t>招标文件章节及条款号</w:t>
            </w:r>
          </w:p>
        </w:tc>
        <w:tc>
          <w:tcPr>
            <w:tcW w:w="2886" w:type="dxa"/>
            <w:shd w:val="clear" w:color="auto" w:fill="auto"/>
            <w:noWrap w:val="0"/>
            <w:vAlign w:val="top"/>
          </w:tcPr>
          <w:p>
            <w:pPr>
              <w:widowControl/>
              <w:jc w:val="center"/>
              <w:rPr>
                <w:rFonts w:ascii="宋体" w:hAnsi="宋体" w:cs="宋体"/>
                <w:sz w:val="18"/>
                <w:szCs w:val="18"/>
              </w:rPr>
            </w:pPr>
            <w:r>
              <w:rPr>
                <w:rFonts w:hint="eastAsia" w:ascii="宋体" w:hAnsi="宋体" w:cs="宋体"/>
                <w:sz w:val="18"/>
                <w:szCs w:val="18"/>
              </w:rPr>
              <w:t>投标文件章节及条款号</w:t>
            </w:r>
          </w:p>
        </w:tc>
        <w:tc>
          <w:tcPr>
            <w:tcW w:w="2132" w:type="dxa"/>
            <w:shd w:val="clear" w:color="auto" w:fill="auto"/>
            <w:noWrap w:val="0"/>
            <w:vAlign w:val="top"/>
          </w:tcPr>
          <w:p>
            <w:pPr>
              <w:widowControl/>
              <w:jc w:val="center"/>
              <w:rPr>
                <w:rFonts w:ascii="宋体" w:hAnsi="宋体" w:cs="宋体"/>
                <w:sz w:val="18"/>
                <w:szCs w:val="18"/>
              </w:rPr>
            </w:pPr>
            <w:r>
              <w:rPr>
                <w:rFonts w:hint="eastAsia" w:ascii="宋体" w:hAnsi="宋体" w:cs="宋体"/>
                <w:sz w:val="18"/>
                <w:szCs w:val="18"/>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shd w:val="clear" w:color="auto" w:fill="auto"/>
            <w:noWrap w:val="0"/>
            <w:vAlign w:val="top"/>
          </w:tcPr>
          <w:p>
            <w:pPr>
              <w:widowControl/>
              <w:jc w:val="left"/>
              <w:rPr>
                <w:rFonts w:ascii="宋体" w:hAnsi="宋体" w:cs="宋体"/>
                <w:sz w:val="18"/>
                <w:szCs w:val="18"/>
              </w:rPr>
            </w:pPr>
            <w:r>
              <w:rPr>
                <w:rFonts w:hint="eastAsia" w:ascii="宋体" w:hAnsi="宋体" w:cs="宋体"/>
                <w:sz w:val="18"/>
                <w:szCs w:val="18"/>
              </w:rPr>
              <w:t>1</w:t>
            </w:r>
          </w:p>
        </w:tc>
        <w:tc>
          <w:tcPr>
            <w:tcW w:w="2551" w:type="dxa"/>
            <w:shd w:val="clear" w:color="auto" w:fill="auto"/>
            <w:noWrap w:val="0"/>
            <w:vAlign w:val="top"/>
          </w:tcPr>
          <w:p>
            <w:pPr>
              <w:widowControl/>
              <w:jc w:val="left"/>
              <w:rPr>
                <w:rFonts w:ascii="宋体" w:hAnsi="宋体" w:cs="宋体"/>
                <w:sz w:val="18"/>
                <w:szCs w:val="18"/>
              </w:rPr>
            </w:pPr>
          </w:p>
        </w:tc>
        <w:tc>
          <w:tcPr>
            <w:tcW w:w="2886" w:type="dxa"/>
            <w:shd w:val="clear" w:color="auto" w:fill="auto"/>
            <w:noWrap w:val="0"/>
            <w:vAlign w:val="top"/>
          </w:tcPr>
          <w:p>
            <w:pPr>
              <w:widowControl/>
              <w:jc w:val="left"/>
              <w:rPr>
                <w:rFonts w:ascii="宋体" w:hAnsi="宋体" w:cs="宋体"/>
                <w:sz w:val="18"/>
                <w:szCs w:val="18"/>
              </w:rPr>
            </w:pPr>
          </w:p>
        </w:tc>
        <w:tc>
          <w:tcPr>
            <w:tcW w:w="2132" w:type="dxa"/>
            <w:shd w:val="clear" w:color="auto" w:fill="auto"/>
            <w:noWrap w:val="0"/>
            <w:vAlign w:val="top"/>
          </w:tcPr>
          <w:p>
            <w:pPr>
              <w:widowControl/>
              <w:jc w:val="left"/>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shd w:val="clear" w:color="auto" w:fill="auto"/>
            <w:noWrap w:val="0"/>
            <w:vAlign w:val="top"/>
          </w:tcPr>
          <w:p>
            <w:pPr>
              <w:widowControl/>
              <w:jc w:val="left"/>
              <w:rPr>
                <w:rFonts w:ascii="宋体" w:hAnsi="宋体" w:cs="宋体"/>
                <w:sz w:val="18"/>
                <w:szCs w:val="18"/>
              </w:rPr>
            </w:pPr>
            <w:r>
              <w:rPr>
                <w:rFonts w:hint="eastAsia" w:ascii="宋体" w:hAnsi="宋体" w:cs="宋体"/>
                <w:sz w:val="18"/>
                <w:szCs w:val="18"/>
              </w:rPr>
              <w:t>2</w:t>
            </w:r>
          </w:p>
        </w:tc>
        <w:tc>
          <w:tcPr>
            <w:tcW w:w="2551" w:type="dxa"/>
            <w:shd w:val="clear" w:color="auto" w:fill="auto"/>
            <w:noWrap w:val="0"/>
            <w:vAlign w:val="top"/>
          </w:tcPr>
          <w:p>
            <w:pPr>
              <w:widowControl/>
              <w:jc w:val="left"/>
              <w:rPr>
                <w:rFonts w:ascii="宋体" w:hAnsi="宋体" w:cs="宋体"/>
                <w:sz w:val="18"/>
                <w:szCs w:val="18"/>
              </w:rPr>
            </w:pPr>
          </w:p>
        </w:tc>
        <w:tc>
          <w:tcPr>
            <w:tcW w:w="2886" w:type="dxa"/>
            <w:shd w:val="clear" w:color="auto" w:fill="auto"/>
            <w:noWrap w:val="0"/>
            <w:vAlign w:val="top"/>
          </w:tcPr>
          <w:p>
            <w:pPr>
              <w:widowControl/>
              <w:jc w:val="left"/>
              <w:rPr>
                <w:rFonts w:ascii="宋体" w:hAnsi="宋体" w:cs="宋体"/>
                <w:sz w:val="18"/>
                <w:szCs w:val="18"/>
              </w:rPr>
            </w:pPr>
          </w:p>
        </w:tc>
        <w:tc>
          <w:tcPr>
            <w:tcW w:w="2132" w:type="dxa"/>
            <w:shd w:val="clear" w:color="auto" w:fill="auto"/>
            <w:noWrap w:val="0"/>
            <w:vAlign w:val="top"/>
          </w:tcPr>
          <w:p>
            <w:pPr>
              <w:widowControl/>
              <w:jc w:val="left"/>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shd w:val="clear" w:color="auto" w:fill="auto"/>
            <w:noWrap w:val="0"/>
            <w:vAlign w:val="top"/>
          </w:tcPr>
          <w:p>
            <w:pPr>
              <w:widowControl/>
              <w:jc w:val="left"/>
              <w:rPr>
                <w:rFonts w:ascii="宋体" w:hAnsi="宋体" w:cs="宋体"/>
                <w:sz w:val="18"/>
                <w:szCs w:val="18"/>
              </w:rPr>
            </w:pPr>
            <w:r>
              <w:rPr>
                <w:rFonts w:hint="eastAsia" w:ascii="宋体" w:hAnsi="宋体" w:cs="宋体"/>
                <w:sz w:val="18"/>
                <w:szCs w:val="18"/>
              </w:rPr>
              <w:t>3</w:t>
            </w:r>
          </w:p>
        </w:tc>
        <w:tc>
          <w:tcPr>
            <w:tcW w:w="2551" w:type="dxa"/>
            <w:shd w:val="clear" w:color="auto" w:fill="auto"/>
            <w:noWrap w:val="0"/>
            <w:vAlign w:val="top"/>
          </w:tcPr>
          <w:p>
            <w:pPr>
              <w:widowControl/>
              <w:jc w:val="left"/>
              <w:rPr>
                <w:rFonts w:ascii="宋体" w:hAnsi="宋体" w:cs="宋体"/>
                <w:sz w:val="18"/>
                <w:szCs w:val="18"/>
              </w:rPr>
            </w:pPr>
          </w:p>
        </w:tc>
        <w:tc>
          <w:tcPr>
            <w:tcW w:w="2886" w:type="dxa"/>
            <w:shd w:val="clear" w:color="auto" w:fill="auto"/>
            <w:noWrap w:val="0"/>
            <w:vAlign w:val="top"/>
          </w:tcPr>
          <w:p>
            <w:pPr>
              <w:widowControl/>
              <w:jc w:val="left"/>
              <w:rPr>
                <w:rFonts w:ascii="宋体" w:hAnsi="宋体" w:cs="宋体"/>
                <w:sz w:val="18"/>
                <w:szCs w:val="18"/>
              </w:rPr>
            </w:pPr>
          </w:p>
        </w:tc>
        <w:tc>
          <w:tcPr>
            <w:tcW w:w="2132" w:type="dxa"/>
            <w:shd w:val="clear" w:color="auto" w:fill="auto"/>
            <w:noWrap w:val="0"/>
            <w:vAlign w:val="top"/>
          </w:tcPr>
          <w:p>
            <w:pPr>
              <w:widowControl/>
              <w:jc w:val="left"/>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shd w:val="clear" w:color="auto" w:fill="auto"/>
            <w:noWrap w:val="0"/>
            <w:vAlign w:val="top"/>
          </w:tcPr>
          <w:p>
            <w:pPr>
              <w:widowControl/>
              <w:jc w:val="left"/>
              <w:rPr>
                <w:rFonts w:ascii="宋体" w:hAnsi="宋体" w:cs="宋体"/>
                <w:sz w:val="18"/>
                <w:szCs w:val="18"/>
              </w:rPr>
            </w:pPr>
            <w:r>
              <w:rPr>
                <w:rFonts w:hint="eastAsia" w:ascii="宋体" w:hAnsi="宋体" w:cs="宋体"/>
                <w:sz w:val="18"/>
                <w:szCs w:val="18"/>
              </w:rPr>
              <w:t>4</w:t>
            </w:r>
          </w:p>
        </w:tc>
        <w:tc>
          <w:tcPr>
            <w:tcW w:w="2551" w:type="dxa"/>
            <w:shd w:val="clear" w:color="auto" w:fill="auto"/>
            <w:noWrap w:val="0"/>
            <w:vAlign w:val="top"/>
          </w:tcPr>
          <w:p>
            <w:pPr>
              <w:widowControl/>
              <w:jc w:val="left"/>
              <w:rPr>
                <w:rFonts w:ascii="宋体" w:hAnsi="宋体" w:cs="宋体"/>
                <w:sz w:val="18"/>
                <w:szCs w:val="18"/>
              </w:rPr>
            </w:pPr>
          </w:p>
        </w:tc>
        <w:tc>
          <w:tcPr>
            <w:tcW w:w="2886" w:type="dxa"/>
            <w:shd w:val="clear" w:color="auto" w:fill="auto"/>
            <w:noWrap w:val="0"/>
            <w:vAlign w:val="top"/>
          </w:tcPr>
          <w:p>
            <w:pPr>
              <w:widowControl/>
              <w:jc w:val="left"/>
              <w:rPr>
                <w:rFonts w:ascii="宋体" w:hAnsi="宋体" w:cs="宋体"/>
                <w:sz w:val="18"/>
                <w:szCs w:val="18"/>
              </w:rPr>
            </w:pPr>
          </w:p>
        </w:tc>
        <w:tc>
          <w:tcPr>
            <w:tcW w:w="2132" w:type="dxa"/>
            <w:shd w:val="clear" w:color="auto" w:fill="auto"/>
            <w:noWrap w:val="0"/>
            <w:vAlign w:val="top"/>
          </w:tcPr>
          <w:p>
            <w:pPr>
              <w:widowControl/>
              <w:jc w:val="left"/>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shd w:val="clear" w:color="auto" w:fill="auto"/>
            <w:noWrap w:val="0"/>
            <w:vAlign w:val="top"/>
          </w:tcPr>
          <w:p>
            <w:pPr>
              <w:widowControl/>
              <w:jc w:val="left"/>
              <w:rPr>
                <w:rFonts w:ascii="宋体" w:hAnsi="宋体" w:cs="宋体"/>
                <w:sz w:val="18"/>
                <w:szCs w:val="18"/>
              </w:rPr>
            </w:pPr>
            <w:r>
              <w:rPr>
                <w:rFonts w:hint="eastAsia" w:ascii="宋体" w:hAnsi="宋体" w:cs="宋体"/>
                <w:sz w:val="18"/>
                <w:szCs w:val="18"/>
              </w:rPr>
              <w:t>5</w:t>
            </w:r>
          </w:p>
        </w:tc>
        <w:tc>
          <w:tcPr>
            <w:tcW w:w="2551" w:type="dxa"/>
            <w:shd w:val="clear" w:color="auto" w:fill="auto"/>
            <w:noWrap w:val="0"/>
            <w:vAlign w:val="top"/>
          </w:tcPr>
          <w:p>
            <w:pPr>
              <w:widowControl/>
              <w:jc w:val="left"/>
              <w:rPr>
                <w:rFonts w:ascii="宋体" w:hAnsi="宋体" w:cs="宋体"/>
                <w:sz w:val="18"/>
                <w:szCs w:val="18"/>
              </w:rPr>
            </w:pPr>
          </w:p>
        </w:tc>
        <w:tc>
          <w:tcPr>
            <w:tcW w:w="2886" w:type="dxa"/>
            <w:shd w:val="clear" w:color="auto" w:fill="auto"/>
            <w:noWrap w:val="0"/>
            <w:vAlign w:val="top"/>
          </w:tcPr>
          <w:p>
            <w:pPr>
              <w:widowControl/>
              <w:jc w:val="left"/>
              <w:rPr>
                <w:rFonts w:ascii="宋体" w:hAnsi="宋体" w:cs="宋体"/>
                <w:sz w:val="18"/>
                <w:szCs w:val="18"/>
              </w:rPr>
            </w:pPr>
          </w:p>
        </w:tc>
        <w:tc>
          <w:tcPr>
            <w:tcW w:w="2132" w:type="dxa"/>
            <w:shd w:val="clear" w:color="auto" w:fill="auto"/>
            <w:noWrap w:val="0"/>
            <w:vAlign w:val="top"/>
          </w:tcPr>
          <w:p>
            <w:pPr>
              <w:widowControl/>
              <w:jc w:val="left"/>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shd w:val="clear" w:color="auto" w:fill="auto"/>
            <w:noWrap w:val="0"/>
            <w:vAlign w:val="top"/>
          </w:tcPr>
          <w:p>
            <w:pPr>
              <w:widowControl/>
              <w:jc w:val="left"/>
              <w:rPr>
                <w:rFonts w:ascii="宋体" w:hAnsi="宋体" w:cs="宋体"/>
                <w:sz w:val="18"/>
                <w:szCs w:val="18"/>
              </w:rPr>
            </w:pPr>
            <w:r>
              <w:rPr>
                <w:rFonts w:ascii="宋体" w:hAnsi="宋体" w:cs="宋体"/>
                <w:sz w:val="18"/>
                <w:szCs w:val="18"/>
              </w:rPr>
              <w:t>……</w:t>
            </w:r>
          </w:p>
        </w:tc>
        <w:tc>
          <w:tcPr>
            <w:tcW w:w="2551" w:type="dxa"/>
            <w:shd w:val="clear" w:color="auto" w:fill="auto"/>
            <w:noWrap w:val="0"/>
            <w:vAlign w:val="top"/>
          </w:tcPr>
          <w:p>
            <w:pPr>
              <w:widowControl/>
              <w:jc w:val="left"/>
              <w:rPr>
                <w:rFonts w:ascii="宋体" w:hAnsi="宋体" w:cs="宋体"/>
                <w:sz w:val="18"/>
                <w:szCs w:val="18"/>
              </w:rPr>
            </w:pPr>
          </w:p>
        </w:tc>
        <w:tc>
          <w:tcPr>
            <w:tcW w:w="2886" w:type="dxa"/>
            <w:shd w:val="clear" w:color="auto" w:fill="auto"/>
            <w:noWrap w:val="0"/>
            <w:vAlign w:val="top"/>
          </w:tcPr>
          <w:p>
            <w:pPr>
              <w:widowControl/>
              <w:jc w:val="left"/>
              <w:rPr>
                <w:rFonts w:ascii="宋体" w:hAnsi="宋体" w:cs="宋体"/>
                <w:sz w:val="18"/>
                <w:szCs w:val="18"/>
              </w:rPr>
            </w:pPr>
          </w:p>
        </w:tc>
        <w:tc>
          <w:tcPr>
            <w:tcW w:w="2132" w:type="dxa"/>
            <w:shd w:val="clear" w:color="auto" w:fill="auto"/>
            <w:noWrap w:val="0"/>
            <w:vAlign w:val="top"/>
          </w:tcPr>
          <w:p>
            <w:pPr>
              <w:widowControl/>
              <w:jc w:val="left"/>
              <w:rPr>
                <w:rFonts w:ascii="宋体" w:hAnsi="宋体" w:cs="宋体"/>
                <w:sz w:val="18"/>
                <w:szCs w:val="18"/>
              </w:rPr>
            </w:pPr>
          </w:p>
        </w:tc>
      </w:tr>
    </w:tbl>
    <w:p>
      <w:pPr>
        <w:widowControl/>
        <w:jc w:val="left"/>
        <w:rPr>
          <w:rFonts w:ascii="宋体" w:hAnsi="宋体" w:cs="宋体"/>
          <w:szCs w:val="28"/>
        </w:rPr>
      </w:pPr>
      <w:r>
        <w:rPr>
          <w:rFonts w:hint="eastAsia" w:ascii="宋体" w:hAnsi="宋体" w:cs="宋体"/>
          <w:szCs w:val="28"/>
        </w:rPr>
        <w:t>本表未填或未在本表列出的偏差，均视为供应商完全响应采购文件的全部要求。</w:t>
      </w:r>
    </w:p>
    <w:p/>
    <w:p/>
    <w:p>
      <w:pPr>
        <w:pStyle w:val="2"/>
        <w:ind w:firstLine="2400" w:firstLineChars="1000"/>
        <w:rPr>
          <w:sz w:val="24"/>
        </w:rPr>
      </w:pPr>
      <w:r>
        <w:rPr>
          <w:rFonts w:hint="eastAsia" w:ascii="宋体" w:hAnsi="宋体" w:cs="宋体"/>
          <w:sz w:val="24"/>
          <w:szCs w:val="21"/>
        </w:rPr>
        <w:t xml:space="preserve"> </w:t>
      </w:r>
      <w:r>
        <w:rPr>
          <w:rFonts w:hint="eastAsia"/>
          <w:sz w:val="24"/>
        </w:rPr>
        <w:t>供应商：</w:t>
      </w:r>
      <w:r>
        <w:rPr>
          <w:rFonts w:hint="eastAsia"/>
          <w:sz w:val="24"/>
          <w:u w:val="single"/>
        </w:rPr>
        <w:t xml:space="preserve">                        </w:t>
      </w:r>
      <w:r>
        <w:rPr>
          <w:rFonts w:hint="eastAsia"/>
          <w:sz w:val="24"/>
        </w:rPr>
        <w:t>（</w:t>
      </w:r>
      <w:r>
        <w:rPr>
          <w:rFonts w:hint="eastAsia" w:ascii="宋体" w:hAnsi="宋体" w:cs="宋体"/>
          <w:sz w:val="24"/>
        </w:rPr>
        <w:t>电子签章</w:t>
      </w:r>
      <w:r>
        <w:rPr>
          <w:rFonts w:hint="eastAsia"/>
          <w:sz w:val="24"/>
        </w:rPr>
        <w:t>）</w:t>
      </w:r>
    </w:p>
    <w:p>
      <w:pPr>
        <w:pStyle w:val="2"/>
        <w:ind w:firstLine="2400" w:firstLineChars="1000"/>
        <w:rPr>
          <w:sz w:val="24"/>
        </w:rPr>
      </w:pPr>
      <w:r>
        <w:rPr>
          <w:rFonts w:hint="eastAsia"/>
          <w:sz w:val="24"/>
        </w:rPr>
        <w:t>法定代表人：</w:t>
      </w:r>
      <w:r>
        <w:rPr>
          <w:rFonts w:hint="eastAsia"/>
          <w:sz w:val="24"/>
          <w:u w:val="single"/>
        </w:rPr>
        <w:t xml:space="preserve">                    </w:t>
      </w:r>
      <w:r>
        <w:rPr>
          <w:rFonts w:hint="eastAsia"/>
          <w:sz w:val="24"/>
        </w:rPr>
        <w:t>（</w:t>
      </w:r>
      <w:r>
        <w:rPr>
          <w:rFonts w:hint="eastAsia" w:ascii="宋体" w:hAnsi="宋体" w:cs="宋体"/>
          <w:sz w:val="24"/>
        </w:rPr>
        <w:t>电子签章</w:t>
      </w:r>
      <w:r>
        <w:rPr>
          <w:rFonts w:hint="eastAsia"/>
          <w:sz w:val="24"/>
        </w:rPr>
        <w:t>）</w:t>
      </w:r>
    </w:p>
    <w:p>
      <w:pPr>
        <w:spacing w:line="480" w:lineRule="auto"/>
        <w:ind w:right="105" w:firstLine="480" w:firstLineChars="200"/>
        <w:jc w:val="right"/>
        <w:rPr>
          <w:rFonts w:ascii="宋体" w:hAnsi="宋体" w:cs="宋体"/>
          <w:sz w:val="24"/>
          <w:szCs w:val="21"/>
        </w:rPr>
      </w:pPr>
      <w:r>
        <w:rPr>
          <w:rFonts w:hint="eastAsia" w:ascii="宋体" w:hAnsi="宋体" w:cs="宋体"/>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
      <w:pPr>
        <w:widowControl/>
        <w:jc w:val="left"/>
        <w:rPr>
          <w:rFonts w:ascii="宋体" w:hAnsi="宋体" w:cs="宋体"/>
          <w:b/>
          <w:sz w:val="28"/>
          <w:szCs w:val="28"/>
        </w:rPr>
      </w:pPr>
    </w:p>
    <w:p>
      <w:pPr>
        <w:widowControl/>
        <w:jc w:val="center"/>
        <w:rPr>
          <w:rFonts w:ascii="宋体" w:hAnsi="宋体" w:cs="宋体"/>
          <w:sz w:val="24"/>
          <w:szCs w:val="28"/>
        </w:rPr>
      </w:pPr>
      <w:r>
        <w:rPr>
          <w:rFonts w:hint="eastAsia" w:ascii="宋体" w:hAnsi="宋体" w:cs="宋体"/>
          <w:sz w:val="24"/>
          <w:szCs w:val="28"/>
        </w:rPr>
        <w:t>（</w:t>
      </w:r>
      <w:r>
        <w:rPr>
          <w:rFonts w:ascii="宋体" w:hAnsi="宋体" w:cs="宋体"/>
          <w:sz w:val="24"/>
          <w:szCs w:val="28"/>
        </w:rPr>
        <w:t>2</w:t>
      </w:r>
      <w:r>
        <w:rPr>
          <w:rFonts w:hint="eastAsia" w:ascii="宋体" w:hAnsi="宋体" w:cs="宋体"/>
          <w:sz w:val="24"/>
          <w:szCs w:val="28"/>
        </w:rPr>
        <w:t>）技术偏离表</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2551"/>
        <w:gridCol w:w="2886"/>
        <w:gridCol w:w="2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shd w:val="clear" w:color="auto" w:fill="auto"/>
            <w:noWrap w:val="0"/>
            <w:vAlign w:val="top"/>
          </w:tcPr>
          <w:p>
            <w:pPr>
              <w:widowControl/>
              <w:jc w:val="center"/>
              <w:rPr>
                <w:rFonts w:ascii="宋体" w:hAnsi="宋体" w:cs="宋体"/>
                <w:sz w:val="18"/>
                <w:szCs w:val="18"/>
              </w:rPr>
            </w:pPr>
            <w:r>
              <w:rPr>
                <w:rFonts w:hint="eastAsia" w:ascii="宋体" w:hAnsi="宋体" w:cs="宋体"/>
                <w:sz w:val="18"/>
                <w:szCs w:val="18"/>
              </w:rPr>
              <w:t>序号</w:t>
            </w:r>
          </w:p>
        </w:tc>
        <w:tc>
          <w:tcPr>
            <w:tcW w:w="2551" w:type="dxa"/>
            <w:shd w:val="clear" w:color="auto" w:fill="auto"/>
            <w:noWrap w:val="0"/>
            <w:vAlign w:val="top"/>
          </w:tcPr>
          <w:p>
            <w:pPr>
              <w:widowControl/>
              <w:jc w:val="center"/>
              <w:rPr>
                <w:rFonts w:ascii="宋体" w:hAnsi="宋体" w:cs="宋体"/>
                <w:sz w:val="18"/>
                <w:szCs w:val="18"/>
              </w:rPr>
            </w:pPr>
            <w:r>
              <w:rPr>
                <w:rFonts w:hint="eastAsia" w:ascii="宋体" w:hAnsi="宋体" w:cs="宋体"/>
                <w:sz w:val="18"/>
                <w:szCs w:val="18"/>
              </w:rPr>
              <w:t>招标文件章节及条款号</w:t>
            </w:r>
          </w:p>
        </w:tc>
        <w:tc>
          <w:tcPr>
            <w:tcW w:w="2886" w:type="dxa"/>
            <w:shd w:val="clear" w:color="auto" w:fill="auto"/>
            <w:noWrap w:val="0"/>
            <w:vAlign w:val="top"/>
          </w:tcPr>
          <w:p>
            <w:pPr>
              <w:widowControl/>
              <w:jc w:val="center"/>
              <w:rPr>
                <w:rFonts w:ascii="宋体" w:hAnsi="宋体" w:cs="宋体"/>
                <w:sz w:val="18"/>
                <w:szCs w:val="18"/>
              </w:rPr>
            </w:pPr>
            <w:r>
              <w:rPr>
                <w:rFonts w:hint="eastAsia" w:ascii="宋体" w:hAnsi="宋体" w:cs="宋体"/>
                <w:sz w:val="18"/>
                <w:szCs w:val="18"/>
              </w:rPr>
              <w:t>投标文件章节及条款号</w:t>
            </w:r>
          </w:p>
        </w:tc>
        <w:tc>
          <w:tcPr>
            <w:tcW w:w="2132" w:type="dxa"/>
            <w:shd w:val="clear" w:color="auto" w:fill="auto"/>
            <w:noWrap w:val="0"/>
            <w:vAlign w:val="top"/>
          </w:tcPr>
          <w:p>
            <w:pPr>
              <w:widowControl/>
              <w:jc w:val="center"/>
              <w:rPr>
                <w:rFonts w:ascii="宋体" w:hAnsi="宋体" w:cs="宋体"/>
                <w:sz w:val="18"/>
                <w:szCs w:val="18"/>
              </w:rPr>
            </w:pPr>
            <w:r>
              <w:rPr>
                <w:rFonts w:hint="eastAsia" w:ascii="宋体" w:hAnsi="宋体" w:cs="宋体"/>
                <w:sz w:val="18"/>
                <w:szCs w:val="18"/>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shd w:val="clear" w:color="auto" w:fill="auto"/>
            <w:noWrap w:val="0"/>
            <w:vAlign w:val="top"/>
          </w:tcPr>
          <w:p>
            <w:pPr>
              <w:widowControl/>
              <w:jc w:val="left"/>
              <w:rPr>
                <w:rFonts w:ascii="宋体" w:hAnsi="宋体" w:cs="宋体"/>
                <w:sz w:val="18"/>
                <w:szCs w:val="18"/>
              </w:rPr>
            </w:pPr>
            <w:r>
              <w:rPr>
                <w:rFonts w:hint="eastAsia" w:ascii="宋体" w:hAnsi="宋体" w:cs="宋体"/>
                <w:sz w:val="18"/>
                <w:szCs w:val="18"/>
              </w:rPr>
              <w:t>1</w:t>
            </w:r>
          </w:p>
        </w:tc>
        <w:tc>
          <w:tcPr>
            <w:tcW w:w="2551" w:type="dxa"/>
            <w:shd w:val="clear" w:color="auto" w:fill="auto"/>
            <w:noWrap w:val="0"/>
            <w:vAlign w:val="top"/>
          </w:tcPr>
          <w:p>
            <w:pPr>
              <w:widowControl/>
              <w:jc w:val="left"/>
              <w:rPr>
                <w:rFonts w:ascii="宋体" w:hAnsi="宋体" w:cs="宋体"/>
                <w:sz w:val="18"/>
                <w:szCs w:val="18"/>
              </w:rPr>
            </w:pPr>
          </w:p>
        </w:tc>
        <w:tc>
          <w:tcPr>
            <w:tcW w:w="2886" w:type="dxa"/>
            <w:shd w:val="clear" w:color="auto" w:fill="auto"/>
            <w:noWrap w:val="0"/>
            <w:vAlign w:val="top"/>
          </w:tcPr>
          <w:p>
            <w:pPr>
              <w:widowControl/>
              <w:jc w:val="left"/>
              <w:rPr>
                <w:rFonts w:ascii="宋体" w:hAnsi="宋体" w:cs="宋体"/>
                <w:sz w:val="18"/>
                <w:szCs w:val="18"/>
              </w:rPr>
            </w:pPr>
          </w:p>
        </w:tc>
        <w:tc>
          <w:tcPr>
            <w:tcW w:w="2132" w:type="dxa"/>
            <w:shd w:val="clear" w:color="auto" w:fill="auto"/>
            <w:noWrap w:val="0"/>
            <w:vAlign w:val="top"/>
          </w:tcPr>
          <w:p>
            <w:pPr>
              <w:widowControl/>
              <w:jc w:val="left"/>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shd w:val="clear" w:color="auto" w:fill="auto"/>
            <w:noWrap w:val="0"/>
            <w:vAlign w:val="top"/>
          </w:tcPr>
          <w:p>
            <w:pPr>
              <w:widowControl/>
              <w:jc w:val="left"/>
              <w:rPr>
                <w:rFonts w:ascii="宋体" w:hAnsi="宋体" w:cs="宋体"/>
                <w:sz w:val="18"/>
                <w:szCs w:val="18"/>
              </w:rPr>
            </w:pPr>
            <w:r>
              <w:rPr>
                <w:rFonts w:hint="eastAsia" w:ascii="宋体" w:hAnsi="宋体" w:cs="宋体"/>
                <w:sz w:val="18"/>
                <w:szCs w:val="18"/>
              </w:rPr>
              <w:t>2</w:t>
            </w:r>
          </w:p>
        </w:tc>
        <w:tc>
          <w:tcPr>
            <w:tcW w:w="2551" w:type="dxa"/>
            <w:shd w:val="clear" w:color="auto" w:fill="auto"/>
            <w:noWrap w:val="0"/>
            <w:vAlign w:val="top"/>
          </w:tcPr>
          <w:p>
            <w:pPr>
              <w:widowControl/>
              <w:jc w:val="left"/>
              <w:rPr>
                <w:rFonts w:ascii="宋体" w:hAnsi="宋体" w:cs="宋体"/>
                <w:sz w:val="18"/>
                <w:szCs w:val="18"/>
              </w:rPr>
            </w:pPr>
          </w:p>
        </w:tc>
        <w:tc>
          <w:tcPr>
            <w:tcW w:w="2886" w:type="dxa"/>
            <w:shd w:val="clear" w:color="auto" w:fill="auto"/>
            <w:noWrap w:val="0"/>
            <w:vAlign w:val="top"/>
          </w:tcPr>
          <w:p>
            <w:pPr>
              <w:widowControl/>
              <w:jc w:val="left"/>
              <w:rPr>
                <w:rFonts w:ascii="宋体" w:hAnsi="宋体" w:cs="宋体"/>
                <w:sz w:val="18"/>
                <w:szCs w:val="18"/>
              </w:rPr>
            </w:pPr>
          </w:p>
        </w:tc>
        <w:tc>
          <w:tcPr>
            <w:tcW w:w="2132" w:type="dxa"/>
            <w:shd w:val="clear" w:color="auto" w:fill="auto"/>
            <w:noWrap w:val="0"/>
            <w:vAlign w:val="top"/>
          </w:tcPr>
          <w:p>
            <w:pPr>
              <w:widowControl/>
              <w:jc w:val="left"/>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shd w:val="clear" w:color="auto" w:fill="auto"/>
            <w:noWrap w:val="0"/>
            <w:vAlign w:val="top"/>
          </w:tcPr>
          <w:p>
            <w:pPr>
              <w:widowControl/>
              <w:jc w:val="left"/>
              <w:rPr>
                <w:rFonts w:ascii="宋体" w:hAnsi="宋体" w:cs="宋体"/>
                <w:sz w:val="18"/>
                <w:szCs w:val="18"/>
              </w:rPr>
            </w:pPr>
            <w:r>
              <w:rPr>
                <w:rFonts w:hint="eastAsia" w:ascii="宋体" w:hAnsi="宋体" w:cs="宋体"/>
                <w:sz w:val="18"/>
                <w:szCs w:val="18"/>
              </w:rPr>
              <w:t>3</w:t>
            </w:r>
          </w:p>
        </w:tc>
        <w:tc>
          <w:tcPr>
            <w:tcW w:w="2551" w:type="dxa"/>
            <w:shd w:val="clear" w:color="auto" w:fill="auto"/>
            <w:noWrap w:val="0"/>
            <w:vAlign w:val="top"/>
          </w:tcPr>
          <w:p>
            <w:pPr>
              <w:widowControl/>
              <w:jc w:val="left"/>
              <w:rPr>
                <w:rFonts w:ascii="宋体" w:hAnsi="宋体" w:cs="宋体"/>
                <w:sz w:val="18"/>
                <w:szCs w:val="18"/>
              </w:rPr>
            </w:pPr>
          </w:p>
        </w:tc>
        <w:tc>
          <w:tcPr>
            <w:tcW w:w="2886" w:type="dxa"/>
            <w:shd w:val="clear" w:color="auto" w:fill="auto"/>
            <w:noWrap w:val="0"/>
            <w:vAlign w:val="top"/>
          </w:tcPr>
          <w:p>
            <w:pPr>
              <w:widowControl/>
              <w:jc w:val="left"/>
              <w:rPr>
                <w:rFonts w:ascii="宋体" w:hAnsi="宋体" w:cs="宋体"/>
                <w:sz w:val="18"/>
                <w:szCs w:val="18"/>
              </w:rPr>
            </w:pPr>
          </w:p>
        </w:tc>
        <w:tc>
          <w:tcPr>
            <w:tcW w:w="2132" w:type="dxa"/>
            <w:shd w:val="clear" w:color="auto" w:fill="auto"/>
            <w:noWrap w:val="0"/>
            <w:vAlign w:val="top"/>
          </w:tcPr>
          <w:p>
            <w:pPr>
              <w:widowControl/>
              <w:jc w:val="left"/>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shd w:val="clear" w:color="auto" w:fill="auto"/>
            <w:noWrap w:val="0"/>
            <w:vAlign w:val="top"/>
          </w:tcPr>
          <w:p>
            <w:pPr>
              <w:widowControl/>
              <w:jc w:val="left"/>
              <w:rPr>
                <w:rFonts w:ascii="宋体" w:hAnsi="宋体" w:cs="宋体"/>
                <w:sz w:val="18"/>
                <w:szCs w:val="18"/>
              </w:rPr>
            </w:pPr>
            <w:r>
              <w:rPr>
                <w:rFonts w:hint="eastAsia" w:ascii="宋体" w:hAnsi="宋体" w:cs="宋体"/>
                <w:sz w:val="18"/>
                <w:szCs w:val="18"/>
              </w:rPr>
              <w:t>4</w:t>
            </w:r>
          </w:p>
        </w:tc>
        <w:tc>
          <w:tcPr>
            <w:tcW w:w="2551" w:type="dxa"/>
            <w:shd w:val="clear" w:color="auto" w:fill="auto"/>
            <w:noWrap w:val="0"/>
            <w:vAlign w:val="top"/>
          </w:tcPr>
          <w:p>
            <w:pPr>
              <w:widowControl/>
              <w:jc w:val="left"/>
              <w:rPr>
                <w:rFonts w:ascii="宋体" w:hAnsi="宋体" w:cs="宋体"/>
                <w:sz w:val="18"/>
                <w:szCs w:val="18"/>
              </w:rPr>
            </w:pPr>
          </w:p>
        </w:tc>
        <w:tc>
          <w:tcPr>
            <w:tcW w:w="2886" w:type="dxa"/>
            <w:shd w:val="clear" w:color="auto" w:fill="auto"/>
            <w:noWrap w:val="0"/>
            <w:vAlign w:val="top"/>
          </w:tcPr>
          <w:p>
            <w:pPr>
              <w:widowControl/>
              <w:jc w:val="left"/>
              <w:rPr>
                <w:rFonts w:ascii="宋体" w:hAnsi="宋体" w:cs="宋体"/>
                <w:sz w:val="18"/>
                <w:szCs w:val="18"/>
              </w:rPr>
            </w:pPr>
          </w:p>
        </w:tc>
        <w:tc>
          <w:tcPr>
            <w:tcW w:w="2132" w:type="dxa"/>
            <w:shd w:val="clear" w:color="auto" w:fill="auto"/>
            <w:noWrap w:val="0"/>
            <w:vAlign w:val="top"/>
          </w:tcPr>
          <w:p>
            <w:pPr>
              <w:widowControl/>
              <w:jc w:val="left"/>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shd w:val="clear" w:color="auto" w:fill="auto"/>
            <w:noWrap w:val="0"/>
            <w:vAlign w:val="top"/>
          </w:tcPr>
          <w:p>
            <w:pPr>
              <w:widowControl/>
              <w:jc w:val="left"/>
              <w:rPr>
                <w:rFonts w:ascii="宋体" w:hAnsi="宋体" w:cs="宋体"/>
                <w:sz w:val="18"/>
                <w:szCs w:val="18"/>
              </w:rPr>
            </w:pPr>
            <w:r>
              <w:rPr>
                <w:rFonts w:hint="eastAsia" w:ascii="宋体" w:hAnsi="宋体" w:cs="宋体"/>
                <w:sz w:val="18"/>
                <w:szCs w:val="18"/>
              </w:rPr>
              <w:t>5</w:t>
            </w:r>
          </w:p>
        </w:tc>
        <w:tc>
          <w:tcPr>
            <w:tcW w:w="2551" w:type="dxa"/>
            <w:shd w:val="clear" w:color="auto" w:fill="auto"/>
            <w:noWrap w:val="0"/>
            <w:vAlign w:val="top"/>
          </w:tcPr>
          <w:p>
            <w:pPr>
              <w:widowControl/>
              <w:jc w:val="left"/>
              <w:rPr>
                <w:rFonts w:ascii="宋体" w:hAnsi="宋体" w:cs="宋体"/>
                <w:sz w:val="18"/>
                <w:szCs w:val="18"/>
              </w:rPr>
            </w:pPr>
          </w:p>
        </w:tc>
        <w:tc>
          <w:tcPr>
            <w:tcW w:w="2886" w:type="dxa"/>
            <w:shd w:val="clear" w:color="auto" w:fill="auto"/>
            <w:noWrap w:val="0"/>
            <w:vAlign w:val="top"/>
          </w:tcPr>
          <w:p>
            <w:pPr>
              <w:widowControl/>
              <w:jc w:val="left"/>
              <w:rPr>
                <w:rFonts w:ascii="宋体" w:hAnsi="宋体" w:cs="宋体"/>
                <w:sz w:val="18"/>
                <w:szCs w:val="18"/>
              </w:rPr>
            </w:pPr>
          </w:p>
        </w:tc>
        <w:tc>
          <w:tcPr>
            <w:tcW w:w="2132" w:type="dxa"/>
            <w:shd w:val="clear" w:color="auto" w:fill="auto"/>
            <w:noWrap w:val="0"/>
            <w:vAlign w:val="top"/>
          </w:tcPr>
          <w:p>
            <w:pPr>
              <w:widowControl/>
              <w:jc w:val="left"/>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shd w:val="clear" w:color="auto" w:fill="auto"/>
            <w:noWrap w:val="0"/>
            <w:vAlign w:val="top"/>
          </w:tcPr>
          <w:p>
            <w:pPr>
              <w:widowControl/>
              <w:jc w:val="left"/>
              <w:rPr>
                <w:rFonts w:ascii="宋体" w:hAnsi="宋体" w:cs="宋体"/>
                <w:sz w:val="18"/>
                <w:szCs w:val="18"/>
              </w:rPr>
            </w:pPr>
            <w:r>
              <w:rPr>
                <w:rFonts w:ascii="宋体" w:hAnsi="宋体" w:cs="宋体"/>
                <w:sz w:val="18"/>
                <w:szCs w:val="18"/>
              </w:rPr>
              <w:t>……</w:t>
            </w:r>
          </w:p>
        </w:tc>
        <w:tc>
          <w:tcPr>
            <w:tcW w:w="2551" w:type="dxa"/>
            <w:shd w:val="clear" w:color="auto" w:fill="auto"/>
            <w:noWrap w:val="0"/>
            <w:vAlign w:val="top"/>
          </w:tcPr>
          <w:p>
            <w:pPr>
              <w:widowControl/>
              <w:jc w:val="left"/>
              <w:rPr>
                <w:rFonts w:ascii="宋体" w:hAnsi="宋体" w:cs="宋体"/>
                <w:sz w:val="18"/>
                <w:szCs w:val="18"/>
              </w:rPr>
            </w:pPr>
          </w:p>
        </w:tc>
        <w:tc>
          <w:tcPr>
            <w:tcW w:w="2886" w:type="dxa"/>
            <w:shd w:val="clear" w:color="auto" w:fill="auto"/>
            <w:noWrap w:val="0"/>
            <w:vAlign w:val="top"/>
          </w:tcPr>
          <w:p>
            <w:pPr>
              <w:widowControl/>
              <w:jc w:val="left"/>
              <w:rPr>
                <w:rFonts w:ascii="宋体" w:hAnsi="宋体" w:cs="宋体"/>
                <w:sz w:val="18"/>
                <w:szCs w:val="18"/>
              </w:rPr>
            </w:pPr>
          </w:p>
        </w:tc>
        <w:tc>
          <w:tcPr>
            <w:tcW w:w="2132" w:type="dxa"/>
            <w:shd w:val="clear" w:color="auto" w:fill="auto"/>
            <w:noWrap w:val="0"/>
            <w:vAlign w:val="top"/>
          </w:tcPr>
          <w:p>
            <w:pPr>
              <w:widowControl/>
              <w:jc w:val="left"/>
              <w:rPr>
                <w:rFonts w:ascii="宋体" w:hAnsi="宋体" w:cs="宋体"/>
                <w:sz w:val="18"/>
                <w:szCs w:val="18"/>
              </w:rPr>
            </w:pPr>
          </w:p>
        </w:tc>
      </w:tr>
    </w:tbl>
    <w:p>
      <w:pPr>
        <w:widowControl/>
        <w:jc w:val="left"/>
        <w:rPr>
          <w:rFonts w:ascii="宋体" w:hAnsi="宋体" w:cs="宋体"/>
          <w:szCs w:val="28"/>
        </w:rPr>
      </w:pPr>
      <w:r>
        <w:rPr>
          <w:rFonts w:hint="eastAsia" w:ascii="宋体" w:hAnsi="宋体" w:cs="宋体"/>
          <w:szCs w:val="28"/>
        </w:rPr>
        <w:t>本表未填或未在本表列出的偏差，均视为供应商完全响应采购文件的全部要求。</w:t>
      </w:r>
    </w:p>
    <w:p/>
    <w:p/>
    <w:p>
      <w:pPr>
        <w:pStyle w:val="2"/>
        <w:ind w:firstLine="2400" w:firstLineChars="1000"/>
        <w:rPr>
          <w:sz w:val="24"/>
        </w:rPr>
      </w:pPr>
      <w:r>
        <w:rPr>
          <w:rFonts w:hint="eastAsia" w:ascii="宋体" w:hAnsi="宋体" w:cs="宋体"/>
          <w:sz w:val="24"/>
          <w:szCs w:val="21"/>
        </w:rPr>
        <w:t xml:space="preserve">  </w:t>
      </w:r>
      <w:r>
        <w:rPr>
          <w:rFonts w:hint="eastAsia"/>
          <w:sz w:val="24"/>
        </w:rPr>
        <w:t>供应商：</w:t>
      </w:r>
      <w:r>
        <w:rPr>
          <w:rFonts w:hint="eastAsia"/>
          <w:sz w:val="24"/>
          <w:u w:val="single"/>
        </w:rPr>
        <w:t xml:space="preserve">                        </w:t>
      </w:r>
      <w:r>
        <w:rPr>
          <w:rFonts w:hint="eastAsia"/>
          <w:sz w:val="24"/>
        </w:rPr>
        <w:t>（</w:t>
      </w:r>
      <w:r>
        <w:rPr>
          <w:rFonts w:hint="eastAsia" w:ascii="宋体" w:hAnsi="宋体" w:cs="宋体"/>
          <w:sz w:val="24"/>
        </w:rPr>
        <w:t>电子签章</w:t>
      </w:r>
      <w:r>
        <w:rPr>
          <w:rFonts w:hint="eastAsia"/>
          <w:sz w:val="24"/>
        </w:rPr>
        <w:t>）</w:t>
      </w:r>
    </w:p>
    <w:p>
      <w:pPr>
        <w:pStyle w:val="2"/>
        <w:ind w:firstLine="2400" w:firstLineChars="1000"/>
        <w:rPr>
          <w:sz w:val="24"/>
        </w:rPr>
      </w:pPr>
      <w:r>
        <w:rPr>
          <w:rFonts w:hint="eastAsia"/>
          <w:sz w:val="24"/>
        </w:rPr>
        <w:t>法定代表人：</w:t>
      </w:r>
      <w:r>
        <w:rPr>
          <w:rFonts w:hint="eastAsia"/>
          <w:sz w:val="24"/>
          <w:u w:val="single"/>
        </w:rPr>
        <w:t xml:space="preserve">                    </w:t>
      </w:r>
      <w:r>
        <w:rPr>
          <w:rFonts w:hint="eastAsia"/>
          <w:sz w:val="24"/>
        </w:rPr>
        <w:t>（</w:t>
      </w:r>
      <w:r>
        <w:rPr>
          <w:rFonts w:hint="eastAsia" w:ascii="宋体" w:hAnsi="宋体" w:cs="宋体"/>
          <w:sz w:val="24"/>
        </w:rPr>
        <w:t>电子签章</w:t>
      </w:r>
      <w:r>
        <w:rPr>
          <w:rFonts w:hint="eastAsia"/>
          <w:sz w:val="24"/>
        </w:rPr>
        <w:t>）</w:t>
      </w:r>
    </w:p>
    <w:p>
      <w:pPr>
        <w:pStyle w:val="2"/>
        <w:jc w:val="center"/>
      </w:pPr>
      <w:r>
        <w:rPr>
          <w:rFonts w:hint="eastAsia" w:ascii="宋体" w:hAnsi="宋体" w:cs="宋体"/>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pStyle w:val="5"/>
      </w:pPr>
    </w:p>
    <w:p>
      <w:pPr>
        <w:pStyle w:val="2"/>
      </w:pPr>
    </w:p>
    <w:p>
      <w:pPr>
        <w:pStyle w:val="5"/>
      </w:pPr>
    </w:p>
    <w:p>
      <w:pPr>
        <w:pStyle w:val="2"/>
        <w:ind w:firstLine="0" w:firstLineChars="0"/>
      </w:pPr>
    </w:p>
    <w:p>
      <w:r>
        <w:br w:type="page"/>
      </w:r>
    </w:p>
    <w:p/>
    <w:p>
      <w:pPr>
        <w:keepNext/>
        <w:keepLines/>
        <w:spacing w:line="360" w:lineRule="auto"/>
        <w:jc w:val="center"/>
        <w:outlineLvl w:val="1"/>
        <w:rPr>
          <w:rFonts w:ascii="宋体" w:hAnsi="宋体" w:cs="宋体"/>
          <w:b/>
          <w:bCs/>
          <w:sz w:val="32"/>
          <w:szCs w:val="32"/>
        </w:rPr>
      </w:pPr>
      <w:bookmarkStart w:id="315" w:name="_Toc3197"/>
      <w:r>
        <w:rPr>
          <w:rFonts w:hint="eastAsia" w:ascii="宋体" w:hAnsi="宋体" w:cs="宋体"/>
          <w:b/>
          <w:bCs/>
          <w:sz w:val="32"/>
          <w:szCs w:val="32"/>
        </w:rPr>
        <w:t>七、资格审查资料</w:t>
      </w:r>
      <w:bookmarkEnd w:id="315"/>
    </w:p>
    <w:p>
      <w:pPr>
        <w:keepNext/>
        <w:keepLines/>
        <w:spacing w:line="360" w:lineRule="auto"/>
        <w:ind w:left="210" w:right="210" w:rightChars="100"/>
        <w:jc w:val="center"/>
        <w:outlineLvl w:val="2"/>
        <w:rPr>
          <w:rFonts w:ascii="宋体" w:hAnsi="宋体" w:cs="宋体"/>
          <w:b/>
          <w:bCs/>
          <w:sz w:val="24"/>
        </w:rPr>
      </w:pPr>
      <w:r>
        <w:rPr>
          <w:rFonts w:hint="eastAsia" w:ascii="宋体" w:hAnsi="宋体" w:cs="宋体"/>
          <w:b/>
          <w:bCs/>
          <w:sz w:val="24"/>
        </w:rPr>
        <w:t>（一）供应商基本情况表</w:t>
      </w:r>
    </w:p>
    <w:p/>
    <w:p>
      <w:pPr>
        <w:bidi w:val="0"/>
      </w:pPr>
    </w:p>
    <w:tbl>
      <w:tblPr>
        <w:tblStyle w:val="17"/>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69"/>
        <w:gridCol w:w="3154"/>
        <w:gridCol w:w="153"/>
        <w:gridCol w:w="1318"/>
        <w:gridCol w:w="210"/>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653" w:type="dxa"/>
            <w:noWrap w:val="0"/>
            <w:vAlign w:val="center"/>
          </w:tcPr>
          <w:p>
            <w:pPr>
              <w:spacing w:line="276" w:lineRule="auto"/>
              <w:rPr>
                <w:rFonts w:ascii="宋体" w:hAnsi="宋体" w:cs="宋体"/>
                <w:sz w:val="24"/>
                <w:szCs w:val="24"/>
              </w:rPr>
            </w:pPr>
            <w:r>
              <w:rPr>
                <w:rFonts w:hint="eastAsia" w:ascii="宋体" w:hAnsi="宋体" w:cs="宋体"/>
                <w:sz w:val="24"/>
                <w:szCs w:val="24"/>
              </w:rPr>
              <w:t>供应商名称</w:t>
            </w:r>
          </w:p>
        </w:tc>
        <w:tc>
          <w:tcPr>
            <w:tcW w:w="3476" w:type="dxa"/>
            <w:gridSpan w:val="3"/>
            <w:noWrap w:val="0"/>
            <w:vAlign w:val="center"/>
          </w:tcPr>
          <w:p>
            <w:pPr>
              <w:spacing w:line="276" w:lineRule="auto"/>
              <w:rPr>
                <w:rFonts w:ascii="宋体" w:hAnsi="宋体" w:cs="宋体"/>
                <w:sz w:val="24"/>
                <w:szCs w:val="24"/>
              </w:rPr>
            </w:pPr>
          </w:p>
        </w:tc>
        <w:tc>
          <w:tcPr>
            <w:tcW w:w="1528" w:type="dxa"/>
            <w:gridSpan w:val="2"/>
            <w:noWrap w:val="0"/>
            <w:vAlign w:val="center"/>
          </w:tcPr>
          <w:p>
            <w:pPr>
              <w:spacing w:line="276" w:lineRule="auto"/>
              <w:rPr>
                <w:rFonts w:ascii="宋体" w:hAnsi="宋体" w:cs="宋体"/>
                <w:sz w:val="24"/>
                <w:szCs w:val="24"/>
              </w:rPr>
            </w:pPr>
            <w:r>
              <w:rPr>
                <w:rFonts w:hint="eastAsia" w:ascii="宋体" w:hAnsi="宋体" w:cs="宋体"/>
                <w:sz w:val="24"/>
                <w:szCs w:val="24"/>
              </w:rPr>
              <w:t>成立日期</w:t>
            </w:r>
          </w:p>
        </w:tc>
        <w:tc>
          <w:tcPr>
            <w:tcW w:w="2577" w:type="dxa"/>
            <w:noWrap w:val="0"/>
            <w:vAlign w:val="center"/>
          </w:tcPr>
          <w:p>
            <w:pPr>
              <w:spacing w:line="276"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653" w:type="dxa"/>
            <w:noWrap w:val="0"/>
            <w:vAlign w:val="center"/>
          </w:tcPr>
          <w:p>
            <w:pPr>
              <w:spacing w:line="276" w:lineRule="auto"/>
              <w:rPr>
                <w:rFonts w:hint="eastAsia" w:ascii="宋体" w:hAnsi="宋体" w:cs="宋体"/>
                <w:sz w:val="24"/>
                <w:szCs w:val="24"/>
              </w:rPr>
            </w:pPr>
            <w:r>
              <w:rPr>
                <w:rFonts w:hint="eastAsia" w:ascii="宋体" w:hAnsi="宋体" w:cs="宋体"/>
                <w:sz w:val="24"/>
                <w:szCs w:val="24"/>
                <w:lang w:val="en-US" w:eastAsia="zh-CN"/>
              </w:rPr>
              <w:t>注册</w:t>
            </w:r>
            <w:r>
              <w:rPr>
                <w:rFonts w:hint="eastAsia" w:ascii="宋体" w:hAnsi="宋体" w:cs="宋体"/>
                <w:sz w:val="24"/>
                <w:szCs w:val="24"/>
              </w:rPr>
              <w:t>地址</w:t>
            </w:r>
          </w:p>
        </w:tc>
        <w:tc>
          <w:tcPr>
            <w:tcW w:w="7581" w:type="dxa"/>
            <w:gridSpan w:val="6"/>
            <w:noWrap w:val="0"/>
            <w:vAlign w:val="center"/>
          </w:tcPr>
          <w:p>
            <w:pPr>
              <w:spacing w:line="276"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129" w:type="dxa"/>
            <w:gridSpan w:val="4"/>
            <w:noWrap w:val="0"/>
            <w:vAlign w:val="center"/>
          </w:tcPr>
          <w:p>
            <w:pPr>
              <w:spacing w:line="276" w:lineRule="auto"/>
              <w:rPr>
                <w:rFonts w:ascii="宋体" w:hAnsi="宋体" w:cs="宋体"/>
                <w:sz w:val="24"/>
                <w:szCs w:val="24"/>
              </w:rPr>
            </w:pPr>
            <w:r>
              <w:rPr>
                <w:rFonts w:hint="eastAsia" w:ascii="宋体" w:hAnsi="宋体" w:cs="宋体"/>
                <w:sz w:val="24"/>
                <w:szCs w:val="24"/>
              </w:rPr>
              <w:t>企业法人统一社会信用代码</w:t>
            </w:r>
          </w:p>
        </w:tc>
        <w:tc>
          <w:tcPr>
            <w:tcW w:w="4105" w:type="dxa"/>
            <w:gridSpan w:val="3"/>
            <w:noWrap w:val="0"/>
            <w:vAlign w:val="center"/>
          </w:tcPr>
          <w:p>
            <w:pPr>
              <w:spacing w:line="276"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noWrap w:val="0"/>
            <w:vAlign w:val="center"/>
          </w:tcPr>
          <w:p>
            <w:pPr>
              <w:spacing w:line="276" w:lineRule="auto"/>
              <w:rPr>
                <w:rFonts w:ascii="宋体" w:hAnsi="宋体" w:cs="宋体"/>
                <w:sz w:val="24"/>
                <w:szCs w:val="24"/>
              </w:rPr>
            </w:pPr>
            <w:r>
              <w:rPr>
                <w:rFonts w:hint="eastAsia" w:ascii="宋体" w:hAnsi="宋体" w:cs="宋体"/>
                <w:sz w:val="24"/>
                <w:szCs w:val="24"/>
              </w:rPr>
              <w:t>注册资本</w:t>
            </w:r>
          </w:p>
        </w:tc>
        <w:tc>
          <w:tcPr>
            <w:tcW w:w="3307" w:type="dxa"/>
            <w:gridSpan w:val="2"/>
            <w:noWrap w:val="0"/>
            <w:vAlign w:val="center"/>
          </w:tcPr>
          <w:p>
            <w:pPr>
              <w:spacing w:line="276" w:lineRule="auto"/>
              <w:rPr>
                <w:rFonts w:ascii="宋体" w:hAnsi="宋体" w:cs="宋体"/>
                <w:sz w:val="24"/>
                <w:szCs w:val="24"/>
              </w:rPr>
            </w:pPr>
          </w:p>
        </w:tc>
        <w:tc>
          <w:tcPr>
            <w:tcW w:w="1528" w:type="dxa"/>
            <w:gridSpan w:val="2"/>
            <w:noWrap w:val="0"/>
            <w:vAlign w:val="center"/>
          </w:tcPr>
          <w:p>
            <w:pPr>
              <w:spacing w:line="276" w:lineRule="auto"/>
              <w:rPr>
                <w:rFonts w:ascii="宋体" w:hAnsi="宋体" w:cs="宋体"/>
                <w:sz w:val="24"/>
                <w:szCs w:val="24"/>
              </w:rPr>
            </w:pPr>
            <w:r>
              <w:rPr>
                <w:rFonts w:hint="eastAsia" w:ascii="宋体" w:hAnsi="宋体" w:cs="宋体"/>
                <w:sz w:val="24"/>
                <w:szCs w:val="24"/>
              </w:rPr>
              <w:t>企业类型</w:t>
            </w:r>
          </w:p>
        </w:tc>
        <w:tc>
          <w:tcPr>
            <w:tcW w:w="2577" w:type="dxa"/>
            <w:noWrap w:val="0"/>
            <w:vAlign w:val="center"/>
          </w:tcPr>
          <w:p>
            <w:pPr>
              <w:spacing w:line="276"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22" w:type="dxa"/>
            <w:gridSpan w:val="2"/>
            <w:noWrap w:val="0"/>
            <w:vAlign w:val="center"/>
          </w:tcPr>
          <w:p>
            <w:pPr>
              <w:spacing w:line="276" w:lineRule="auto"/>
              <w:rPr>
                <w:rFonts w:ascii="宋体" w:hAnsi="宋体" w:cs="宋体"/>
                <w:sz w:val="24"/>
                <w:szCs w:val="24"/>
              </w:rPr>
            </w:pPr>
            <w:r>
              <w:rPr>
                <w:rFonts w:hint="eastAsia" w:ascii="宋体" w:hAnsi="宋体" w:cs="宋体"/>
                <w:sz w:val="24"/>
                <w:szCs w:val="24"/>
              </w:rPr>
              <w:t>法定代表人</w:t>
            </w:r>
          </w:p>
        </w:tc>
        <w:tc>
          <w:tcPr>
            <w:tcW w:w="3307" w:type="dxa"/>
            <w:gridSpan w:val="2"/>
            <w:noWrap w:val="0"/>
            <w:vAlign w:val="center"/>
          </w:tcPr>
          <w:p>
            <w:pPr>
              <w:spacing w:line="276" w:lineRule="auto"/>
              <w:rPr>
                <w:rFonts w:ascii="宋体" w:hAnsi="宋体" w:cs="宋体"/>
                <w:sz w:val="24"/>
                <w:szCs w:val="24"/>
              </w:rPr>
            </w:pPr>
          </w:p>
        </w:tc>
        <w:tc>
          <w:tcPr>
            <w:tcW w:w="1528" w:type="dxa"/>
            <w:gridSpan w:val="2"/>
            <w:noWrap w:val="0"/>
            <w:vAlign w:val="center"/>
          </w:tcPr>
          <w:p>
            <w:pPr>
              <w:spacing w:line="276" w:lineRule="auto"/>
              <w:rPr>
                <w:rFonts w:ascii="宋体" w:hAnsi="宋体" w:cs="宋体"/>
                <w:sz w:val="24"/>
                <w:szCs w:val="24"/>
              </w:rPr>
            </w:pPr>
            <w:r>
              <w:rPr>
                <w:rFonts w:hint="eastAsia" w:ascii="宋体" w:hAnsi="宋体" w:cs="宋体"/>
                <w:sz w:val="24"/>
                <w:szCs w:val="24"/>
              </w:rPr>
              <w:t>营业期限</w:t>
            </w:r>
          </w:p>
        </w:tc>
        <w:tc>
          <w:tcPr>
            <w:tcW w:w="2577" w:type="dxa"/>
            <w:noWrap w:val="0"/>
            <w:vAlign w:val="center"/>
          </w:tcPr>
          <w:p>
            <w:pPr>
              <w:spacing w:line="276"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22" w:type="dxa"/>
            <w:gridSpan w:val="2"/>
            <w:noWrap w:val="0"/>
            <w:vAlign w:val="center"/>
          </w:tcPr>
          <w:p>
            <w:pPr>
              <w:spacing w:line="276" w:lineRule="auto"/>
              <w:rPr>
                <w:rFonts w:ascii="宋体" w:hAnsi="宋体" w:cs="宋体"/>
                <w:sz w:val="24"/>
                <w:szCs w:val="24"/>
              </w:rPr>
            </w:pPr>
            <w:r>
              <w:rPr>
                <w:rFonts w:hint="eastAsia" w:ascii="宋体" w:hAnsi="宋体" w:cs="宋体"/>
                <w:sz w:val="24"/>
                <w:szCs w:val="24"/>
              </w:rPr>
              <w:t>主营业务</w:t>
            </w:r>
          </w:p>
        </w:tc>
        <w:tc>
          <w:tcPr>
            <w:tcW w:w="7412" w:type="dxa"/>
            <w:gridSpan w:val="5"/>
            <w:noWrap w:val="0"/>
            <w:vAlign w:val="center"/>
          </w:tcPr>
          <w:p>
            <w:pPr>
              <w:spacing w:line="276"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noWrap w:val="0"/>
            <w:vAlign w:val="center"/>
          </w:tcPr>
          <w:p>
            <w:pPr>
              <w:spacing w:line="276" w:lineRule="auto"/>
              <w:rPr>
                <w:rFonts w:ascii="宋体" w:hAnsi="宋体" w:cs="宋体"/>
                <w:sz w:val="24"/>
                <w:szCs w:val="24"/>
              </w:rPr>
            </w:pPr>
            <w:r>
              <w:rPr>
                <w:rFonts w:hint="eastAsia" w:ascii="宋体" w:hAnsi="宋体" w:cs="宋体"/>
                <w:sz w:val="24"/>
                <w:szCs w:val="24"/>
              </w:rPr>
              <w:t>开户银行</w:t>
            </w:r>
          </w:p>
        </w:tc>
        <w:tc>
          <w:tcPr>
            <w:tcW w:w="7412" w:type="dxa"/>
            <w:gridSpan w:val="5"/>
            <w:noWrap w:val="0"/>
            <w:vAlign w:val="center"/>
          </w:tcPr>
          <w:p>
            <w:pPr>
              <w:spacing w:line="276"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22" w:type="dxa"/>
            <w:gridSpan w:val="2"/>
            <w:noWrap w:val="0"/>
            <w:vAlign w:val="center"/>
          </w:tcPr>
          <w:p>
            <w:pPr>
              <w:spacing w:line="276" w:lineRule="auto"/>
              <w:rPr>
                <w:rFonts w:ascii="宋体" w:hAnsi="宋体" w:cs="宋体"/>
                <w:sz w:val="24"/>
                <w:szCs w:val="24"/>
              </w:rPr>
            </w:pPr>
            <w:r>
              <w:rPr>
                <w:rFonts w:hint="eastAsia" w:ascii="宋体" w:hAnsi="宋体" w:cs="宋体"/>
                <w:sz w:val="24"/>
                <w:szCs w:val="24"/>
              </w:rPr>
              <w:t>开户行号</w:t>
            </w:r>
          </w:p>
        </w:tc>
        <w:tc>
          <w:tcPr>
            <w:tcW w:w="7412" w:type="dxa"/>
            <w:gridSpan w:val="5"/>
            <w:noWrap w:val="0"/>
            <w:vAlign w:val="center"/>
          </w:tcPr>
          <w:p>
            <w:pPr>
              <w:spacing w:line="276"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22" w:type="dxa"/>
            <w:gridSpan w:val="2"/>
            <w:noWrap w:val="0"/>
            <w:vAlign w:val="center"/>
          </w:tcPr>
          <w:p>
            <w:pPr>
              <w:spacing w:line="276" w:lineRule="auto"/>
              <w:rPr>
                <w:rFonts w:ascii="宋体" w:hAnsi="宋体" w:cs="宋体"/>
                <w:sz w:val="24"/>
                <w:szCs w:val="24"/>
              </w:rPr>
            </w:pPr>
            <w:r>
              <w:rPr>
                <w:rFonts w:hint="eastAsia" w:ascii="宋体" w:hAnsi="宋体" w:cs="宋体"/>
                <w:sz w:val="24"/>
                <w:szCs w:val="24"/>
              </w:rPr>
              <w:t>银行账号</w:t>
            </w:r>
          </w:p>
        </w:tc>
        <w:tc>
          <w:tcPr>
            <w:tcW w:w="7412" w:type="dxa"/>
            <w:gridSpan w:val="5"/>
            <w:noWrap w:val="0"/>
            <w:vAlign w:val="center"/>
          </w:tcPr>
          <w:p>
            <w:pPr>
              <w:spacing w:line="276"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noWrap w:val="0"/>
            <w:vAlign w:val="center"/>
          </w:tcPr>
          <w:p>
            <w:pPr>
              <w:spacing w:line="276" w:lineRule="auto"/>
              <w:rPr>
                <w:rFonts w:ascii="宋体" w:hAnsi="宋体" w:cs="宋体"/>
                <w:sz w:val="24"/>
                <w:szCs w:val="24"/>
              </w:rPr>
            </w:pPr>
            <w:r>
              <w:rPr>
                <w:rFonts w:hint="eastAsia" w:ascii="宋体" w:hAnsi="宋体" w:cs="宋体"/>
                <w:sz w:val="24"/>
                <w:szCs w:val="24"/>
              </w:rPr>
              <w:t>电  话</w:t>
            </w:r>
          </w:p>
        </w:tc>
        <w:tc>
          <w:tcPr>
            <w:tcW w:w="3154" w:type="dxa"/>
            <w:noWrap w:val="0"/>
            <w:vAlign w:val="center"/>
          </w:tcPr>
          <w:p>
            <w:pPr>
              <w:spacing w:line="276" w:lineRule="auto"/>
              <w:rPr>
                <w:rFonts w:ascii="宋体" w:hAnsi="宋体" w:cs="宋体"/>
                <w:sz w:val="24"/>
                <w:szCs w:val="24"/>
              </w:rPr>
            </w:pPr>
          </w:p>
        </w:tc>
        <w:tc>
          <w:tcPr>
            <w:tcW w:w="1471" w:type="dxa"/>
            <w:gridSpan w:val="2"/>
            <w:noWrap w:val="0"/>
            <w:vAlign w:val="center"/>
          </w:tcPr>
          <w:p>
            <w:pPr>
              <w:spacing w:line="276" w:lineRule="auto"/>
              <w:rPr>
                <w:rFonts w:ascii="宋体" w:hAnsi="宋体" w:cs="宋体"/>
                <w:sz w:val="24"/>
                <w:szCs w:val="24"/>
              </w:rPr>
            </w:pPr>
            <w:r>
              <w:rPr>
                <w:rFonts w:hint="eastAsia" w:ascii="宋体" w:hAnsi="宋体" w:cs="宋体"/>
                <w:sz w:val="24"/>
                <w:szCs w:val="24"/>
              </w:rPr>
              <w:t>传  真</w:t>
            </w:r>
          </w:p>
        </w:tc>
        <w:tc>
          <w:tcPr>
            <w:tcW w:w="2787" w:type="dxa"/>
            <w:gridSpan w:val="2"/>
            <w:noWrap w:val="0"/>
            <w:vAlign w:val="center"/>
          </w:tcPr>
          <w:p>
            <w:pPr>
              <w:spacing w:line="276"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822" w:type="dxa"/>
            <w:gridSpan w:val="2"/>
            <w:tcBorders>
              <w:bottom w:val="single" w:color="auto" w:sz="4" w:space="0"/>
            </w:tcBorders>
            <w:noWrap w:val="0"/>
            <w:vAlign w:val="center"/>
          </w:tcPr>
          <w:p>
            <w:pPr>
              <w:spacing w:line="276" w:lineRule="auto"/>
              <w:rPr>
                <w:rFonts w:ascii="宋体" w:hAnsi="宋体" w:cs="宋体"/>
                <w:sz w:val="24"/>
                <w:szCs w:val="24"/>
              </w:rPr>
            </w:pPr>
            <w:r>
              <w:rPr>
                <w:rFonts w:hint="eastAsia" w:ascii="宋体" w:hAnsi="宋体" w:cs="宋体"/>
                <w:sz w:val="24"/>
                <w:szCs w:val="24"/>
              </w:rPr>
              <w:t>邮  箱</w:t>
            </w:r>
          </w:p>
        </w:tc>
        <w:tc>
          <w:tcPr>
            <w:tcW w:w="3154" w:type="dxa"/>
            <w:tcBorders>
              <w:bottom w:val="single" w:color="auto" w:sz="4" w:space="0"/>
            </w:tcBorders>
            <w:noWrap w:val="0"/>
            <w:vAlign w:val="center"/>
          </w:tcPr>
          <w:p>
            <w:pPr>
              <w:spacing w:line="276" w:lineRule="auto"/>
              <w:rPr>
                <w:rFonts w:ascii="宋体" w:hAnsi="宋体" w:cs="宋体"/>
                <w:sz w:val="24"/>
                <w:szCs w:val="24"/>
              </w:rPr>
            </w:pPr>
          </w:p>
        </w:tc>
        <w:tc>
          <w:tcPr>
            <w:tcW w:w="1471" w:type="dxa"/>
            <w:gridSpan w:val="2"/>
            <w:tcBorders>
              <w:bottom w:val="single" w:color="auto" w:sz="4" w:space="0"/>
            </w:tcBorders>
            <w:noWrap w:val="0"/>
            <w:vAlign w:val="center"/>
          </w:tcPr>
          <w:p>
            <w:pPr>
              <w:spacing w:line="276" w:lineRule="auto"/>
              <w:rPr>
                <w:rFonts w:ascii="宋体" w:hAnsi="宋体" w:cs="宋体"/>
                <w:sz w:val="24"/>
                <w:szCs w:val="24"/>
              </w:rPr>
            </w:pPr>
            <w:r>
              <w:rPr>
                <w:rFonts w:hint="eastAsia" w:ascii="宋体" w:hAnsi="宋体" w:cs="宋体"/>
                <w:sz w:val="24"/>
                <w:szCs w:val="24"/>
              </w:rPr>
              <w:t>邮  编</w:t>
            </w:r>
          </w:p>
        </w:tc>
        <w:tc>
          <w:tcPr>
            <w:tcW w:w="2787" w:type="dxa"/>
            <w:gridSpan w:val="2"/>
            <w:tcBorders>
              <w:bottom w:val="single" w:color="auto" w:sz="4" w:space="0"/>
            </w:tcBorders>
            <w:noWrap w:val="0"/>
            <w:vAlign w:val="center"/>
          </w:tcPr>
          <w:p>
            <w:pPr>
              <w:spacing w:line="276"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822" w:type="dxa"/>
            <w:gridSpan w:val="2"/>
            <w:tcBorders>
              <w:bottom w:val="single" w:color="auto" w:sz="4" w:space="0"/>
            </w:tcBorders>
            <w:noWrap w:val="0"/>
            <w:vAlign w:val="center"/>
          </w:tcPr>
          <w:p>
            <w:pPr>
              <w:spacing w:line="276" w:lineRule="auto"/>
              <w:rPr>
                <w:rFonts w:ascii="宋体" w:hAnsi="宋体" w:cs="宋体"/>
                <w:sz w:val="24"/>
                <w:szCs w:val="24"/>
              </w:rPr>
            </w:pPr>
            <w:r>
              <w:rPr>
                <w:rFonts w:hint="eastAsia" w:ascii="宋体" w:hAnsi="宋体" w:cs="宋体"/>
                <w:sz w:val="24"/>
                <w:szCs w:val="24"/>
              </w:rPr>
              <w:t>联系人</w:t>
            </w:r>
          </w:p>
        </w:tc>
        <w:tc>
          <w:tcPr>
            <w:tcW w:w="3154" w:type="dxa"/>
            <w:tcBorders>
              <w:bottom w:val="single" w:color="auto" w:sz="4" w:space="0"/>
            </w:tcBorders>
            <w:noWrap w:val="0"/>
            <w:vAlign w:val="center"/>
          </w:tcPr>
          <w:p>
            <w:pPr>
              <w:spacing w:line="276" w:lineRule="auto"/>
              <w:rPr>
                <w:rFonts w:ascii="宋体" w:hAnsi="宋体" w:cs="宋体"/>
                <w:sz w:val="24"/>
                <w:szCs w:val="24"/>
              </w:rPr>
            </w:pPr>
          </w:p>
        </w:tc>
        <w:tc>
          <w:tcPr>
            <w:tcW w:w="1471" w:type="dxa"/>
            <w:gridSpan w:val="2"/>
            <w:tcBorders>
              <w:bottom w:val="single" w:color="auto" w:sz="4" w:space="0"/>
            </w:tcBorders>
            <w:noWrap w:val="0"/>
            <w:vAlign w:val="center"/>
          </w:tcPr>
          <w:p>
            <w:pPr>
              <w:spacing w:line="276" w:lineRule="auto"/>
              <w:rPr>
                <w:rFonts w:ascii="宋体" w:hAnsi="宋体" w:cs="宋体"/>
                <w:sz w:val="24"/>
                <w:szCs w:val="24"/>
              </w:rPr>
            </w:pPr>
            <w:r>
              <w:rPr>
                <w:rFonts w:hint="eastAsia" w:ascii="宋体" w:hAnsi="宋体" w:cs="宋体"/>
                <w:sz w:val="24"/>
                <w:szCs w:val="24"/>
              </w:rPr>
              <w:t>联系方式</w:t>
            </w:r>
          </w:p>
        </w:tc>
        <w:tc>
          <w:tcPr>
            <w:tcW w:w="2787" w:type="dxa"/>
            <w:gridSpan w:val="2"/>
            <w:tcBorders>
              <w:bottom w:val="single" w:color="auto" w:sz="4" w:space="0"/>
            </w:tcBorders>
            <w:noWrap w:val="0"/>
            <w:vAlign w:val="center"/>
          </w:tcPr>
          <w:p>
            <w:pPr>
              <w:spacing w:line="276" w:lineRule="auto"/>
              <w:rPr>
                <w:rFonts w:ascii="宋体" w:hAnsi="宋体" w:cs="宋体"/>
                <w:sz w:val="24"/>
                <w:szCs w:val="24"/>
              </w:rPr>
            </w:pPr>
          </w:p>
        </w:tc>
      </w:tr>
    </w:tbl>
    <w:p>
      <w:pPr>
        <w:bidi w:val="0"/>
      </w:pPr>
    </w:p>
    <w:p>
      <w:pPr>
        <w:bidi w:val="0"/>
      </w:pPr>
    </w:p>
    <w:p>
      <w:r>
        <w:br w:type="page"/>
      </w:r>
    </w:p>
    <w:p>
      <w:pPr>
        <w:keepNext/>
        <w:keepLines/>
        <w:spacing w:line="360" w:lineRule="auto"/>
        <w:ind w:left="210" w:right="210" w:rightChars="100"/>
        <w:jc w:val="center"/>
        <w:outlineLvl w:val="2"/>
        <w:rPr>
          <w:rFonts w:ascii="宋体" w:hAnsi="宋体" w:cs="宋体"/>
          <w:b/>
          <w:bCs/>
          <w:sz w:val="24"/>
        </w:rPr>
      </w:pPr>
      <w:r>
        <w:rPr>
          <w:rFonts w:hint="eastAsia" w:ascii="宋体" w:hAnsi="宋体" w:cs="宋体"/>
          <w:b/>
          <w:bCs/>
          <w:sz w:val="24"/>
        </w:rPr>
        <w:t>（二）其他资格审查资料</w:t>
      </w:r>
    </w:p>
    <w:p>
      <w:pPr>
        <w:spacing w:line="360" w:lineRule="auto"/>
        <w:ind w:firstLine="527" w:firstLineChars="250"/>
        <w:jc w:val="center"/>
        <w:rPr>
          <w:rFonts w:ascii="宋体" w:hAnsi="宋体" w:cs="宋体"/>
          <w:b/>
          <w:szCs w:val="21"/>
        </w:rPr>
      </w:pPr>
    </w:p>
    <w:p/>
    <w:p/>
    <w:p/>
    <w:p/>
    <w:p/>
    <w:p/>
    <w:p>
      <w:pPr>
        <w:bidi w:val="0"/>
      </w:pPr>
    </w:p>
    <w:p>
      <w:r>
        <w:br w:type="page"/>
      </w:r>
    </w:p>
    <w:p>
      <w:pPr>
        <w:pStyle w:val="8"/>
        <w:jc w:val="center"/>
        <w:rPr>
          <w:rFonts w:ascii="宋体" w:hAnsi="宋体" w:eastAsia="宋体"/>
        </w:rPr>
      </w:pPr>
      <w:bookmarkStart w:id="316" w:name="_Toc6599"/>
      <w:r>
        <w:rPr>
          <w:rFonts w:hint="eastAsia" w:ascii="宋体" w:hAnsi="宋体" w:eastAsia="宋体"/>
        </w:rPr>
        <w:t>八、其他资料</w:t>
      </w:r>
      <w:bookmarkEnd w:id="316"/>
    </w:p>
    <w:p>
      <w:pPr>
        <w:pStyle w:val="2"/>
        <w:ind w:firstLine="0" w:firstLineChars="0"/>
        <w:jc w:val="center"/>
        <w:rPr>
          <w:sz w:val="24"/>
        </w:rPr>
      </w:pPr>
      <w:r>
        <w:rPr>
          <w:sz w:val="24"/>
        </w:rPr>
        <w:t>磋商文件要求或</w:t>
      </w:r>
      <w:r>
        <w:rPr>
          <w:rFonts w:hint="eastAsia"/>
          <w:sz w:val="24"/>
        </w:rPr>
        <w:t>供应商认为需要提供的其他资料</w:t>
      </w:r>
    </w:p>
    <w:p>
      <w:pPr>
        <w:pStyle w:val="2"/>
        <w:ind w:firstLine="0" w:firstLineChars="0"/>
      </w:pPr>
    </w:p>
    <w:p>
      <w:pPr>
        <w:pStyle w:val="5"/>
      </w:pPr>
    </w:p>
    <w:p>
      <w:pPr>
        <w:pStyle w:val="2"/>
      </w:pPr>
    </w:p>
    <w:p>
      <w:pPr>
        <w:pStyle w:val="5"/>
      </w:pPr>
    </w:p>
    <w:p>
      <w:pPr>
        <w:pStyle w:val="2"/>
      </w:pPr>
    </w:p>
    <w:p>
      <w:pPr>
        <w:pStyle w:val="5"/>
      </w:pPr>
    </w:p>
    <w:p>
      <w:pPr>
        <w:pStyle w:val="2"/>
      </w:pPr>
    </w:p>
    <w:p>
      <w:pPr>
        <w:pStyle w:val="5"/>
      </w:pPr>
    </w:p>
    <w:p>
      <w:pPr>
        <w:pStyle w:val="2"/>
      </w:pPr>
    </w:p>
    <w:p>
      <w:pPr>
        <w:pStyle w:val="2"/>
        <w:ind w:firstLine="0" w:firstLineChars="0"/>
      </w:pPr>
    </w:p>
    <w:p>
      <w:r>
        <w:br w:type="page"/>
      </w:r>
    </w:p>
    <w:p>
      <w:pPr>
        <w:outlineLvl w:val="2"/>
        <w:rPr>
          <w:rFonts w:ascii="宋体" w:hAnsi="宋体" w:cs="仿宋"/>
          <w:b/>
          <w:bCs/>
          <w:spacing w:val="12"/>
          <w:kern w:val="0"/>
          <w:sz w:val="32"/>
          <w:szCs w:val="32"/>
        </w:rPr>
      </w:pPr>
      <w:r>
        <w:rPr>
          <w:rFonts w:hint="eastAsia" w:ascii="宋体" w:hAnsi="宋体" w:cs="仿宋"/>
          <w:b/>
          <w:bCs/>
          <w:spacing w:val="12"/>
          <w:kern w:val="0"/>
          <w:sz w:val="24"/>
        </w:rPr>
        <w:t>附件一</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ascii="宋体" w:hAnsi="宋体" w:cs="宋体"/>
          <w:b/>
          <w:bCs/>
          <w:sz w:val="28"/>
          <w:szCs w:val="28"/>
        </w:rPr>
      </w:pPr>
      <w:r>
        <w:rPr>
          <w:rFonts w:hint="eastAsia" w:ascii="宋体" w:hAnsi="宋体" w:cs="宋体"/>
          <w:b/>
          <w:bCs/>
          <w:spacing w:val="-9"/>
          <w:sz w:val="28"/>
          <w:szCs w:val="28"/>
          <w:lang w:eastAsia="zh-CN"/>
        </w:rPr>
        <w:t>（</w:t>
      </w:r>
      <w:r>
        <w:rPr>
          <w:rFonts w:hint="eastAsia" w:ascii="宋体" w:hAnsi="宋体" w:cs="宋体"/>
          <w:b/>
          <w:bCs/>
          <w:spacing w:val="-9"/>
          <w:sz w:val="28"/>
          <w:szCs w:val="28"/>
          <w:lang w:val="en-US" w:eastAsia="zh-CN"/>
        </w:rPr>
        <w:t>一</w:t>
      </w:r>
      <w:r>
        <w:rPr>
          <w:rFonts w:hint="eastAsia" w:ascii="宋体" w:hAnsi="宋体" w:cs="宋体"/>
          <w:b/>
          <w:bCs/>
          <w:spacing w:val="-9"/>
          <w:sz w:val="28"/>
          <w:szCs w:val="28"/>
          <w:lang w:eastAsia="zh-CN"/>
        </w:rPr>
        <w:t>）</w:t>
      </w:r>
      <w:r>
        <w:rPr>
          <w:rFonts w:ascii="宋体" w:hAnsi="宋体" w:cs="宋体"/>
          <w:b/>
          <w:bCs/>
          <w:spacing w:val="-9"/>
          <w:sz w:val="28"/>
          <w:szCs w:val="28"/>
        </w:rPr>
        <w:t>中小企业声明函（货物）</w:t>
      </w:r>
    </w:p>
    <w:p>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sz w:val="24"/>
          <w:szCs w:val="24"/>
        </w:rPr>
      </w:pPr>
      <w:r>
        <w:rPr>
          <w:sz w:val="24"/>
          <w:szCs w:val="24"/>
        </w:rPr>
        <w:t>（</w:t>
      </w:r>
      <w:r>
        <w:rPr>
          <w:rFonts w:ascii="宋体" w:hAnsi="宋体" w:cs="宋体"/>
          <w:spacing w:val="12"/>
          <w:sz w:val="24"/>
          <w:szCs w:val="24"/>
        </w:rPr>
        <w:t>不属于中小企业的无需提供此项内容</w:t>
      </w:r>
      <w:r>
        <w:rPr>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512" w:firstLineChars="200"/>
        <w:textAlignment w:val="auto"/>
        <w:rPr>
          <w:rFonts w:ascii="宋体" w:hAnsi="宋体" w:cs="宋体"/>
          <w:sz w:val="24"/>
          <w:szCs w:val="24"/>
        </w:rPr>
      </w:pPr>
      <w:r>
        <w:rPr>
          <w:rFonts w:ascii="宋体" w:hAnsi="宋体" w:cs="宋体"/>
          <w:spacing w:val="8"/>
          <w:sz w:val="24"/>
          <w:szCs w:val="24"/>
        </w:rPr>
        <w:t>本公司 (联</w:t>
      </w:r>
      <w:r>
        <w:rPr>
          <w:rFonts w:ascii="宋体" w:hAnsi="宋体" w:cs="宋体"/>
          <w:spacing w:val="5"/>
          <w:sz w:val="24"/>
          <w:szCs w:val="24"/>
        </w:rPr>
        <w:t>合</w:t>
      </w:r>
      <w:r>
        <w:rPr>
          <w:rFonts w:ascii="宋体" w:hAnsi="宋体" w:cs="宋体"/>
          <w:spacing w:val="4"/>
          <w:sz w:val="24"/>
          <w:szCs w:val="24"/>
        </w:rPr>
        <w:t>体) 郑重声明，根据《政府采购促进中小企业发展管理办法》 (财库[2020]46 号)</w:t>
      </w:r>
      <w:r>
        <w:rPr>
          <w:rFonts w:ascii="宋体" w:hAnsi="宋体" w:cs="宋体"/>
          <w:sz w:val="24"/>
          <w:szCs w:val="24"/>
        </w:rPr>
        <w:t xml:space="preserve"> </w:t>
      </w:r>
      <w:r>
        <w:rPr>
          <w:rFonts w:ascii="宋体" w:hAnsi="宋体" w:cs="宋体"/>
          <w:spacing w:val="18"/>
          <w:sz w:val="24"/>
          <w:szCs w:val="24"/>
        </w:rPr>
        <w:t>的</w:t>
      </w:r>
      <w:r>
        <w:rPr>
          <w:rFonts w:ascii="宋体" w:hAnsi="宋体" w:cs="宋体"/>
          <w:spacing w:val="15"/>
          <w:sz w:val="24"/>
          <w:szCs w:val="24"/>
        </w:rPr>
        <w:t>规</w:t>
      </w:r>
      <w:r>
        <w:rPr>
          <w:rFonts w:ascii="宋体" w:hAnsi="宋体" w:cs="宋体"/>
          <w:spacing w:val="9"/>
          <w:sz w:val="24"/>
          <w:szCs w:val="24"/>
        </w:rPr>
        <w:t>定，本公司 (联合体) 参加</w:t>
      </w:r>
      <w:r>
        <w:rPr>
          <w:rFonts w:ascii="宋体" w:hAnsi="宋体" w:cs="宋体"/>
          <w:spacing w:val="9"/>
          <w:sz w:val="24"/>
          <w:szCs w:val="24"/>
          <w:u w:val="single"/>
        </w:rPr>
        <w:t xml:space="preserve"> (单位名称)</w:t>
      </w:r>
      <w:r>
        <w:rPr>
          <w:rFonts w:ascii="宋体" w:hAnsi="宋体" w:cs="宋体"/>
          <w:spacing w:val="9"/>
          <w:sz w:val="24"/>
          <w:szCs w:val="24"/>
        </w:rPr>
        <w:t xml:space="preserve"> 的 </w:t>
      </w:r>
      <w:r>
        <w:rPr>
          <w:rFonts w:ascii="宋体" w:hAnsi="宋体" w:cs="宋体"/>
          <w:spacing w:val="9"/>
          <w:sz w:val="24"/>
          <w:szCs w:val="24"/>
          <w:u w:val="single"/>
        </w:rPr>
        <w:t>(项目名称)</w:t>
      </w:r>
      <w:r>
        <w:rPr>
          <w:rFonts w:ascii="宋体" w:hAnsi="宋体" w:cs="宋体"/>
          <w:spacing w:val="9"/>
          <w:sz w:val="24"/>
          <w:szCs w:val="24"/>
        </w:rPr>
        <w:t xml:space="preserve"> 采购活动，提供的货物全部由符合政</w:t>
      </w:r>
      <w:r>
        <w:rPr>
          <w:rFonts w:ascii="宋体" w:hAnsi="宋体" w:cs="宋体"/>
          <w:spacing w:val="18"/>
          <w:sz w:val="24"/>
          <w:szCs w:val="24"/>
        </w:rPr>
        <w:t>策</w:t>
      </w:r>
      <w:r>
        <w:rPr>
          <w:rFonts w:ascii="宋体" w:hAnsi="宋体" w:cs="宋体"/>
          <w:spacing w:val="10"/>
          <w:sz w:val="24"/>
          <w:szCs w:val="24"/>
        </w:rPr>
        <w:t>要求的中小企业制造。相关企业 (含联合体中的中小企业、签订分包意向协议的中小企业) 的具</w:t>
      </w:r>
      <w:r>
        <w:rPr>
          <w:rFonts w:ascii="宋体" w:hAnsi="宋体" w:cs="宋体"/>
          <w:sz w:val="24"/>
          <w:szCs w:val="24"/>
        </w:rPr>
        <w:t xml:space="preserve"> </w:t>
      </w:r>
      <w:r>
        <w:rPr>
          <w:rFonts w:ascii="宋体" w:hAnsi="宋体" w:cs="宋体"/>
          <w:spacing w:val="7"/>
          <w:sz w:val="24"/>
          <w:szCs w:val="24"/>
        </w:rPr>
        <w:t>体情况如下</w:t>
      </w:r>
      <w:r>
        <w:rPr>
          <w:rFonts w:ascii="宋体" w:hAnsi="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512" w:firstLineChars="200"/>
        <w:textAlignment w:val="auto"/>
        <w:rPr>
          <w:rFonts w:ascii="宋体" w:hAnsi="宋体" w:cs="宋体"/>
          <w:sz w:val="24"/>
          <w:szCs w:val="24"/>
        </w:rPr>
      </w:pPr>
      <w:r>
        <w:rPr>
          <w:rFonts w:ascii="宋体" w:hAnsi="宋体" w:cs="宋体"/>
          <w:spacing w:val="8"/>
          <w:sz w:val="24"/>
          <w:szCs w:val="24"/>
        </w:rPr>
        <w:t xml:space="preserve">1、 </w:t>
      </w:r>
      <w:r>
        <w:rPr>
          <w:rFonts w:ascii="宋体" w:hAnsi="宋体" w:cs="宋体"/>
          <w:spacing w:val="8"/>
          <w:sz w:val="24"/>
          <w:szCs w:val="24"/>
          <w:u w:val="single"/>
        </w:rPr>
        <w:t xml:space="preserve"> (标</w:t>
      </w:r>
      <w:r>
        <w:rPr>
          <w:rFonts w:ascii="宋体" w:hAnsi="宋体" w:cs="宋体"/>
          <w:spacing w:val="7"/>
          <w:sz w:val="24"/>
          <w:szCs w:val="24"/>
          <w:u w:val="single"/>
        </w:rPr>
        <w:t>的</w:t>
      </w:r>
      <w:r>
        <w:rPr>
          <w:rFonts w:ascii="宋体" w:hAnsi="宋体" w:cs="宋体"/>
          <w:spacing w:val="4"/>
          <w:sz w:val="24"/>
          <w:szCs w:val="24"/>
          <w:u w:val="single"/>
        </w:rPr>
        <w:t xml:space="preserve">名称) </w:t>
      </w:r>
      <w:r>
        <w:rPr>
          <w:rFonts w:ascii="宋体" w:hAnsi="宋体" w:cs="宋体"/>
          <w:spacing w:val="4"/>
          <w:sz w:val="24"/>
          <w:szCs w:val="24"/>
        </w:rPr>
        <w:t xml:space="preserve">，属于 </w:t>
      </w:r>
      <w:r>
        <w:rPr>
          <w:rFonts w:ascii="宋体" w:hAnsi="宋体" w:cs="宋体"/>
          <w:spacing w:val="4"/>
          <w:sz w:val="24"/>
          <w:szCs w:val="24"/>
          <w:u w:val="single"/>
        </w:rPr>
        <w:t xml:space="preserve">(采购文件中明确的所属行业) </w:t>
      </w:r>
      <w:r>
        <w:rPr>
          <w:rFonts w:ascii="宋体" w:hAnsi="宋体" w:cs="宋体"/>
          <w:spacing w:val="4"/>
          <w:sz w:val="24"/>
          <w:szCs w:val="24"/>
        </w:rPr>
        <w:t xml:space="preserve">行业；制造商为 </w:t>
      </w:r>
      <w:r>
        <w:rPr>
          <w:rFonts w:ascii="宋体" w:hAnsi="宋体" w:cs="宋体"/>
          <w:spacing w:val="4"/>
          <w:sz w:val="24"/>
          <w:szCs w:val="24"/>
          <w:u w:val="single"/>
        </w:rPr>
        <w:t>(企业名称)</w:t>
      </w:r>
      <w:r>
        <w:rPr>
          <w:rFonts w:ascii="宋体" w:hAnsi="宋体" w:cs="宋体"/>
          <w:spacing w:val="4"/>
          <w:sz w:val="24"/>
          <w:szCs w:val="24"/>
        </w:rPr>
        <w:t xml:space="preserve"> ，从业人</w:t>
      </w:r>
      <w:r>
        <w:rPr>
          <w:rFonts w:ascii="宋体" w:hAnsi="宋体" w:cs="宋体"/>
          <w:spacing w:val="10"/>
          <w:sz w:val="24"/>
          <w:szCs w:val="24"/>
        </w:rPr>
        <w:t>员</w:t>
      </w:r>
      <w:r>
        <w:rPr>
          <w:rFonts w:ascii="宋体" w:hAnsi="宋体" w:cs="宋体"/>
          <w:spacing w:val="6"/>
          <w:sz w:val="24"/>
          <w:szCs w:val="24"/>
          <w:u w:val="single"/>
        </w:rPr>
        <w:t xml:space="preserve"> </w:t>
      </w:r>
      <w:r>
        <w:rPr>
          <w:rFonts w:ascii="宋体" w:hAnsi="宋体" w:cs="宋体"/>
          <w:spacing w:val="5"/>
          <w:sz w:val="24"/>
          <w:szCs w:val="24"/>
          <w:u w:val="single"/>
        </w:rPr>
        <w:t xml:space="preserve">        </w:t>
      </w:r>
      <w:r>
        <w:rPr>
          <w:rFonts w:ascii="宋体" w:hAnsi="宋体" w:cs="宋体"/>
          <w:spacing w:val="5"/>
          <w:sz w:val="24"/>
          <w:szCs w:val="24"/>
        </w:rPr>
        <w:t xml:space="preserve"> 人，营业收入为</w:t>
      </w:r>
      <w:r>
        <w:rPr>
          <w:rFonts w:ascii="宋体" w:hAnsi="宋体" w:cs="宋体"/>
          <w:spacing w:val="5"/>
          <w:sz w:val="24"/>
          <w:szCs w:val="24"/>
          <w:u w:val="single"/>
        </w:rPr>
        <w:t xml:space="preserve">        </w:t>
      </w:r>
      <w:r>
        <w:rPr>
          <w:rFonts w:ascii="宋体" w:hAnsi="宋体" w:cs="宋体"/>
          <w:spacing w:val="5"/>
          <w:sz w:val="24"/>
          <w:szCs w:val="24"/>
        </w:rPr>
        <w:t>万元，资产总额为</w:t>
      </w:r>
      <w:r>
        <w:rPr>
          <w:rFonts w:ascii="宋体" w:hAnsi="宋体" w:cs="宋体"/>
          <w:spacing w:val="5"/>
          <w:sz w:val="24"/>
          <w:szCs w:val="24"/>
          <w:u w:val="single"/>
        </w:rPr>
        <w:t xml:space="preserve">      </w:t>
      </w:r>
      <w:r>
        <w:rPr>
          <w:rFonts w:ascii="宋体" w:hAnsi="宋体" w:cs="宋体"/>
          <w:spacing w:val="5"/>
          <w:sz w:val="24"/>
          <w:szCs w:val="24"/>
        </w:rPr>
        <w:t xml:space="preserve">万元，属于 </w:t>
      </w:r>
      <w:r>
        <w:rPr>
          <w:rFonts w:ascii="宋体" w:hAnsi="宋体" w:cs="宋体"/>
          <w:spacing w:val="5"/>
          <w:sz w:val="24"/>
          <w:szCs w:val="24"/>
          <w:u w:val="single"/>
        </w:rPr>
        <w:t>(中型企业、小型企业、</w:t>
      </w:r>
      <w:r>
        <w:rPr>
          <w:rFonts w:ascii="宋体" w:hAnsi="宋体" w:cs="宋体"/>
          <w:sz w:val="24"/>
          <w:szCs w:val="24"/>
          <w:u w:val="single"/>
        </w:rPr>
        <w:t xml:space="preserve"> </w:t>
      </w:r>
      <w:r>
        <w:rPr>
          <w:rFonts w:ascii="宋体" w:hAnsi="宋体" w:cs="宋体"/>
          <w:spacing w:val="6"/>
          <w:sz w:val="24"/>
          <w:szCs w:val="24"/>
          <w:u w:val="single"/>
        </w:rPr>
        <w:t xml:space="preserve">微型企业) </w:t>
      </w:r>
      <w:r>
        <w:rPr>
          <w:rFonts w:ascii="宋体" w:hAnsi="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500" w:firstLineChars="200"/>
        <w:textAlignment w:val="auto"/>
        <w:rPr>
          <w:rFonts w:ascii="宋体" w:hAnsi="宋体" w:cs="宋体"/>
          <w:sz w:val="24"/>
          <w:szCs w:val="24"/>
        </w:rPr>
      </w:pPr>
      <w:r>
        <w:rPr>
          <w:rFonts w:ascii="宋体" w:hAnsi="宋体" w:cs="宋体"/>
          <w:spacing w:val="5"/>
          <w:sz w:val="24"/>
          <w:szCs w:val="24"/>
        </w:rPr>
        <w:t xml:space="preserve">2、 </w:t>
      </w:r>
      <w:r>
        <w:rPr>
          <w:rFonts w:ascii="宋体" w:hAnsi="宋体" w:cs="宋体"/>
          <w:spacing w:val="5"/>
          <w:sz w:val="24"/>
          <w:szCs w:val="24"/>
          <w:u w:val="single"/>
        </w:rPr>
        <w:t xml:space="preserve"> (标的名称) </w:t>
      </w:r>
      <w:r>
        <w:rPr>
          <w:rFonts w:ascii="宋体" w:hAnsi="宋体" w:cs="宋体"/>
          <w:spacing w:val="5"/>
          <w:sz w:val="24"/>
          <w:szCs w:val="24"/>
        </w:rPr>
        <w:t>，属于</w:t>
      </w:r>
      <w:r>
        <w:rPr>
          <w:rFonts w:ascii="宋体" w:hAnsi="宋体" w:cs="宋体"/>
          <w:spacing w:val="5"/>
          <w:sz w:val="24"/>
          <w:szCs w:val="24"/>
          <w:u w:val="single"/>
        </w:rPr>
        <w:t xml:space="preserve"> (采购文件中明确的所属行业) </w:t>
      </w:r>
      <w:r>
        <w:rPr>
          <w:rFonts w:ascii="宋体" w:hAnsi="宋体" w:cs="宋体"/>
          <w:spacing w:val="5"/>
          <w:sz w:val="24"/>
          <w:szCs w:val="24"/>
        </w:rPr>
        <w:t xml:space="preserve">行业；制造商为 </w:t>
      </w:r>
      <w:r>
        <w:rPr>
          <w:rFonts w:ascii="宋体" w:hAnsi="宋体" w:cs="宋体"/>
          <w:spacing w:val="5"/>
          <w:sz w:val="24"/>
          <w:szCs w:val="24"/>
          <w:u w:val="single"/>
        </w:rPr>
        <w:t>(企业名称)</w:t>
      </w:r>
      <w:r>
        <w:rPr>
          <w:rFonts w:ascii="宋体" w:hAnsi="宋体" w:cs="宋体"/>
          <w:spacing w:val="5"/>
          <w:sz w:val="24"/>
          <w:szCs w:val="24"/>
        </w:rPr>
        <w:t xml:space="preserve"> ，从</w:t>
      </w:r>
      <w:r>
        <w:rPr>
          <w:rFonts w:ascii="宋体" w:hAnsi="宋体" w:cs="宋体"/>
          <w:spacing w:val="1"/>
          <w:sz w:val="24"/>
          <w:szCs w:val="24"/>
        </w:rPr>
        <w:t>业</w:t>
      </w:r>
      <w:r>
        <w:rPr>
          <w:rFonts w:ascii="宋体" w:hAnsi="宋体" w:cs="宋体"/>
          <w:sz w:val="24"/>
          <w:szCs w:val="24"/>
        </w:rPr>
        <w:t>人</w:t>
      </w:r>
      <w:r>
        <w:rPr>
          <w:rFonts w:ascii="宋体" w:hAnsi="宋体" w:cs="宋体"/>
          <w:spacing w:val="10"/>
          <w:sz w:val="24"/>
          <w:szCs w:val="24"/>
        </w:rPr>
        <w:t>员</w:t>
      </w:r>
      <w:r>
        <w:rPr>
          <w:rFonts w:ascii="宋体" w:hAnsi="宋体" w:cs="宋体"/>
          <w:spacing w:val="6"/>
          <w:sz w:val="24"/>
          <w:szCs w:val="24"/>
          <w:u w:val="single"/>
        </w:rPr>
        <w:t xml:space="preserve"> </w:t>
      </w:r>
      <w:r>
        <w:rPr>
          <w:rFonts w:ascii="宋体" w:hAnsi="宋体" w:cs="宋体"/>
          <w:spacing w:val="5"/>
          <w:sz w:val="24"/>
          <w:szCs w:val="24"/>
          <w:u w:val="single"/>
        </w:rPr>
        <w:t xml:space="preserve">        </w:t>
      </w:r>
      <w:r>
        <w:rPr>
          <w:rFonts w:ascii="宋体" w:hAnsi="宋体" w:cs="宋体"/>
          <w:spacing w:val="5"/>
          <w:sz w:val="24"/>
          <w:szCs w:val="24"/>
        </w:rPr>
        <w:t xml:space="preserve"> 人，营业收入为</w:t>
      </w:r>
      <w:r>
        <w:rPr>
          <w:rFonts w:ascii="宋体" w:hAnsi="宋体" w:cs="宋体"/>
          <w:spacing w:val="5"/>
          <w:sz w:val="24"/>
          <w:szCs w:val="24"/>
          <w:u w:val="single"/>
        </w:rPr>
        <w:t xml:space="preserve">        </w:t>
      </w:r>
      <w:r>
        <w:rPr>
          <w:rFonts w:ascii="宋体" w:hAnsi="宋体" w:cs="宋体"/>
          <w:spacing w:val="5"/>
          <w:sz w:val="24"/>
          <w:szCs w:val="24"/>
        </w:rPr>
        <w:t>万元，资产总额为</w:t>
      </w:r>
      <w:r>
        <w:rPr>
          <w:rFonts w:ascii="宋体" w:hAnsi="宋体" w:cs="宋体"/>
          <w:spacing w:val="5"/>
          <w:sz w:val="24"/>
          <w:szCs w:val="24"/>
          <w:u w:val="single"/>
        </w:rPr>
        <w:t xml:space="preserve">      </w:t>
      </w:r>
      <w:r>
        <w:rPr>
          <w:rFonts w:ascii="宋体" w:hAnsi="宋体" w:cs="宋体"/>
          <w:spacing w:val="5"/>
          <w:sz w:val="24"/>
          <w:szCs w:val="24"/>
        </w:rPr>
        <w:t xml:space="preserve">万元，属于 </w:t>
      </w:r>
      <w:r>
        <w:rPr>
          <w:rFonts w:ascii="宋体" w:hAnsi="宋体" w:cs="宋体"/>
          <w:spacing w:val="5"/>
          <w:sz w:val="24"/>
          <w:szCs w:val="24"/>
          <w:u w:val="single"/>
        </w:rPr>
        <w:t>(中型企业、小型企业、</w:t>
      </w:r>
      <w:r>
        <w:rPr>
          <w:rFonts w:ascii="宋体" w:hAnsi="宋体" w:cs="宋体"/>
          <w:sz w:val="24"/>
          <w:szCs w:val="24"/>
          <w:u w:val="single"/>
        </w:rPr>
        <w:t xml:space="preserve"> </w:t>
      </w:r>
      <w:r>
        <w:rPr>
          <w:rFonts w:ascii="宋体" w:hAnsi="宋体" w:cs="宋体"/>
          <w:spacing w:val="6"/>
          <w:sz w:val="24"/>
          <w:szCs w:val="24"/>
          <w:u w:val="single"/>
        </w:rPr>
        <w:t>微型企业)</w:t>
      </w:r>
      <w:r>
        <w:rPr>
          <w:rFonts w:ascii="宋体" w:hAnsi="宋体" w:cs="宋体"/>
          <w:spacing w:val="6"/>
          <w:sz w:val="24"/>
          <w:szCs w:val="24"/>
        </w:rPr>
        <w:t xml:space="preserve"> </w:t>
      </w:r>
      <w:r>
        <w:rPr>
          <w:rFonts w:ascii="宋体" w:hAnsi="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96" w:firstLineChars="200"/>
        <w:textAlignment w:val="auto"/>
        <w:rPr>
          <w:rFonts w:ascii="宋体" w:hAnsi="宋体" w:cs="宋体"/>
          <w:sz w:val="24"/>
          <w:szCs w:val="24"/>
        </w:rPr>
      </w:pPr>
      <w:r>
        <w:rPr>
          <w:rFonts w:ascii="宋体" w:hAnsi="宋体" w:cs="宋体"/>
          <w:spacing w:val="4"/>
          <w:position w:val="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544" w:firstLineChars="200"/>
        <w:textAlignment w:val="auto"/>
        <w:rPr>
          <w:rFonts w:ascii="宋体" w:hAnsi="宋体" w:cs="宋体"/>
          <w:sz w:val="24"/>
          <w:szCs w:val="24"/>
        </w:rPr>
      </w:pPr>
      <w:r>
        <w:rPr>
          <w:rFonts w:ascii="宋体" w:hAnsi="宋体" w:cs="宋体"/>
          <w:spacing w:val="16"/>
          <w:sz w:val="24"/>
          <w:szCs w:val="24"/>
        </w:rPr>
        <w:t>以</w:t>
      </w:r>
      <w:r>
        <w:rPr>
          <w:rFonts w:ascii="宋体" w:hAnsi="宋体" w:cs="宋体"/>
          <w:spacing w:val="10"/>
          <w:sz w:val="24"/>
          <w:szCs w:val="24"/>
        </w:rPr>
        <w:t>上企业，不属于大企业的分支机构，不存在控股股东为大型企业的情形，也不存在与大型企业</w:t>
      </w:r>
      <w:r>
        <w:rPr>
          <w:rFonts w:ascii="宋体" w:hAnsi="宋体" w:cs="宋体"/>
          <w:sz w:val="24"/>
          <w:szCs w:val="24"/>
        </w:rPr>
        <w:t xml:space="preserve"> </w:t>
      </w:r>
      <w:r>
        <w:rPr>
          <w:rFonts w:ascii="宋体" w:hAnsi="宋体" w:cs="宋体"/>
          <w:spacing w:val="7"/>
          <w:sz w:val="24"/>
          <w:szCs w:val="24"/>
        </w:rPr>
        <w:t>的负责人为同一人的情形</w:t>
      </w:r>
      <w:r>
        <w:rPr>
          <w:rFonts w:ascii="宋体" w:hAnsi="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552" w:firstLineChars="200"/>
        <w:textAlignment w:val="auto"/>
        <w:rPr>
          <w:rFonts w:ascii="宋体" w:hAnsi="宋体" w:cs="宋体"/>
          <w:sz w:val="24"/>
          <w:szCs w:val="24"/>
        </w:rPr>
      </w:pPr>
      <w:r>
        <w:rPr>
          <w:rFonts w:ascii="宋体" w:hAnsi="宋体" w:cs="宋体"/>
          <w:spacing w:val="18"/>
          <w:sz w:val="24"/>
          <w:szCs w:val="24"/>
        </w:rPr>
        <w:t>本</w:t>
      </w:r>
      <w:r>
        <w:rPr>
          <w:rFonts w:ascii="宋体" w:hAnsi="宋体" w:cs="宋体"/>
          <w:spacing w:val="11"/>
          <w:sz w:val="24"/>
          <w:szCs w:val="24"/>
        </w:rPr>
        <w:t>企</w:t>
      </w:r>
      <w:r>
        <w:rPr>
          <w:rFonts w:ascii="宋体" w:hAnsi="宋体" w:cs="宋体"/>
          <w:spacing w:val="9"/>
          <w:sz w:val="24"/>
          <w:szCs w:val="24"/>
        </w:rPr>
        <w:t>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left="0" w:right="0" w:firstLine="238" w:firstLineChars="100"/>
        <w:textAlignment w:val="auto"/>
        <w:rPr>
          <w:rFonts w:ascii="宋体" w:hAnsi="宋体" w:cs="宋体"/>
          <w:spacing w:val="-1"/>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ascii="宋体" w:hAnsi="宋体" w:cs="宋体"/>
          <w:sz w:val="24"/>
          <w:szCs w:val="24"/>
          <w:u w:val="single"/>
        </w:rPr>
      </w:pPr>
      <w:r>
        <w:rPr>
          <w:rFonts w:ascii="宋体" w:hAnsi="宋体" w:cs="宋体"/>
          <w:spacing w:val="-1"/>
          <w:sz w:val="24"/>
          <w:szCs w:val="24"/>
        </w:rPr>
        <w:t>单位名称 (</w:t>
      </w:r>
      <w:r>
        <w:rPr>
          <w:rFonts w:ascii="宋体" w:hAnsi="宋体" w:cs="宋体"/>
          <w:sz w:val="24"/>
          <w:szCs w:val="24"/>
        </w:rPr>
        <w:t>盖单位公章) ：</w:t>
      </w:r>
      <w:r>
        <w:rPr>
          <w:rFonts w:ascii="宋体" w:hAnsi="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ascii="宋体" w:hAnsi="宋体" w:cs="宋体"/>
          <w:sz w:val="24"/>
          <w:szCs w:val="24"/>
        </w:rPr>
      </w:pPr>
      <w:r>
        <w:rPr>
          <w:rFonts w:ascii="宋体" w:hAnsi="宋体" w:cs="宋体"/>
          <w:spacing w:val="-11"/>
          <w:sz w:val="24"/>
          <w:szCs w:val="24"/>
        </w:rPr>
        <w:t>日</w:t>
      </w:r>
      <w:r>
        <w:rPr>
          <w:rFonts w:ascii="宋体" w:hAnsi="宋体" w:cs="宋体"/>
          <w:spacing w:val="-8"/>
          <w:sz w:val="24"/>
          <w:szCs w:val="24"/>
        </w:rPr>
        <w:t>期：</w:t>
      </w:r>
      <w:r>
        <w:rPr>
          <w:rFonts w:ascii="宋体" w:hAnsi="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ascii="宋体" w:hAnsi="宋体" w:cs="宋体"/>
          <w:spacing w:val="12"/>
          <w:position w:val="1"/>
          <w:sz w:val="24"/>
          <w:szCs w:val="24"/>
        </w:rPr>
      </w:pPr>
    </w:p>
    <w:p>
      <w:pPr>
        <w:pStyle w:val="2"/>
        <w:rPr>
          <w:rFonts w:ascii="宋体" w:hAnsi="宋体" w:cs="宋体"/>
          <w:spacing w:val="12"/>
          <w:position w:val="1"/>
          <w:sz w:val="24"/>
          <w:szCs w:val="24"/>
        </w:rPr>
      </w:pPr>
    </w:p>
    <w:p>
      <w:pPr>
        <w:pStyle w:val="5"/>
      </w:pPr>
    </w:p>
    <w:p>
      <w:pPr>
        <w:spacing w:line="360" w:lineRule="auto"/>
        <w:rPr>
          <w:rFonts w:hint="eastAsia" w:ascii="华文中宋" w:hAnsi="华文中宋" w:eastAsia="华文中宋" w:cs="宋体"/>
          <w:sz w:val="21"/>
          <w:szCs w:val="21"/>
        </w:rPr>
      </w:pPr>
      <w:r>
        <w:rPr>
          <w:rFonts w:ascii="宋体" w:hAnsi="宋体" w:cs="宋体"/>
          <w:spacing w:val="12"/>
          <w:position w:val="1"/>
          <w:sz w:val="24"/>
          <w:szCs w:val="24"/>
        </w:rPr>
        <w:t>1</w:t>
      </w:r>
      <w:r>
        <w:rPr>
          <w:rFonts w:ascii="宋体" w:hAnsi="宋体" w:cs="宋体"/>
          <w:spacing w:val="9"/>
          <w:position w:val="1"/>
          <w:sz w:val="24"/>
          <w:szCs w:val="24"/>
        </w:rPr>
        <w:t>、从业人员、营业收入、资产总额填报上一年度数据，无上一年度数据的新成立企业可不填报。</w:t>
      </w:r>
    </w:p>
    <w:p>
      <w:pPr>
        <w:spacing w:before="190" w:line="352" w:lineRule="auto"/>
        <w:ind w:left="120" w:firstLine="480"/>
        <w:jc w:val="left"/>
        <w:rPr>
          <w:rFonts w:ascii="宋体" w:hAnsi="宋体" w:cs="仿宋"/>
          <w:kern w:val="0"/>
          <w:sz w:val="24"/>
        </w:rPr>
      </w:pPr>
    </w:p>
    <w:p>
      <w:pPr>
        <w:pStyle w:val="2"/>
        <w:ind w:firstLine="0" w:firstLineChars="0"/>
      </w:pPr>
    </w:p>
    <w:p>
      <w:r>
        <w:br w:type="page"/>
      </w:r>
    </w:p>
    <w:p>
      <w:pPr>
        <w:bidi w:val="0"/>
      </w:pPr>
    </w:p>
    <w:p>
      <w:pPr>
        <w:autoSpaceDE w:val="0"/>
        <w:autoSpaceDN w:val="0"/>
        <w:adjustRightInd w:val="0"/>
        <w:snapToGrid w:val="0"/>
        <w:jc w:val="center"/>
        <w:rPr>
          <w:rFonts w:ascii="华文中宋" w:hAnsi="华文中宋" w:eastAsia="华文中宋" w:cs="华文中宋"/>
          <w:b/>
          <w:bCs/>
          <w:kern w:val="0"/>
          <w:sz w:val="28"/>
          <w:szCs w:val="28"/>
          <w:lang w:val="zh-CN"/>
        </w:rPr>
      </w:pPr>
      <w:r>
        <w:rPr>
          <w:rFonts w:hint="eastAsia" w:ascii="华文中宋" w:hAnsi="华文中宋" w:eastAsia="华文中宋" w:cs="华文中宋"/>
          <w:b/>
          <w:bCs/>
          <w:kern w:val="0"/>
          <w:sz w:val="28"/>
          <w:szCs w:val="28"/>
          <w:lang w:val="zh-CN"/>
        </w:rPr>
        <w:t>（二）关于监狱企业（如有）</w:t>
      </w:r>
    </w:p>
    <w:p>
      <w:pPr>
        <w:pStyle w:val="23"/>
        <w:rPr>
          <w:rFonts w:ascii="华文中宋" w:hAnsi="华文中宋" w:eastAsia="华文中宋" w:cs="华文中宋"/>
          <w:lang w:val="zh-CN"/>
        </w:rPr>
      </w:pPr>
    </w:p>
    <w:p>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1、政府采购政策</w:t>
      </w:r>
    </w:p>
    <w:p>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财政部、司法部关于政府采购支持监狱企业发展有关问题的通知（财库【2014】68号）</w:t>
      </w:r>
    </w:p>
    <w:p>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2、附证明材料</w:t>
      </w:r>
    </w:p>
    <w:p>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提供由省级以上监狱管理局、戒毒管理局（含新疆生产建设兵团）出具的属于监狱企业的证明文件。</w:t>
      </w:r>
    </w:p>
    <w:p>
      <w:pPr>
        <w:autoSpaceDE w:val="0"/>
        <w:autoSpaceDN w:val="0"/>
        <w:adjustRightInd w:val="0"/>
        <w:snapToGrid w:val="0"/>
        <w:jc w:val="left"/>
        <w:rPr>
          <w:rFonts w:hint="eastAsia" w:ascii="宋体" w:hAnsi="宋体" w:eastAsia="宋体" w:cs="宋体"/>
          <w:kern w:val="0"/>
          <w:sz w:val="24"/>
          <w:lang w:val="zh-CN"/>
        </w:rPr>
      </w:pPr>
    </w:p>
    <w:p>
      <w:pPr>
        <w:pStyle w:val="23"/>
        <w:rPr>
          <w:rFonts w:ascii="华文中宋" w:hAnsi="华文中宋" w:eastAsia="华文中宋" w:cs="华文中宋"/>
          <w:sz w:val="28"/>
          <w:szCs w:val="28"/>
          <w:lang w:val="zh-CN"/>
        </w:rPr>
      </w:pPr>
    </w:p>
    <w:p>
      <w:pPr>
        <w:pStyle w:val="5"/>
        <w:rPr>
          <w:rFonts w:ascii="宋体" w:hAnsi="宋体" w:cs="仿宋"/>
          <w:b/>
          <w:kern w:val="0"/>
          <w:sz w:val="24"/>
        </w:rPr>
      </w:pPr>
    </w:p>
    <w:p>
      <w:pPr>
        <w:pStyle w:val="2"/>
        <w:rPr>
          <w:rFonts w:ascii="宋体" w:hAnsi="宋体" w:cs="仿宋"/>
          <w:b/>
          <w:kern w:val="0"/>
          <w:sz w:val="24"/>
        </w:rPr>
      </w:pPr>
    </w:p>
    <w:p>
      <w:pPr>
        <w:pStyle w:val="5"/>
      </w:pPr>
    </w:p>
    <w:p>
      <w:pPr>
        <w:spacing w:line="400" w:lineRule="exact"/>
        <w:jc w:val="center"/>
        <w:rPr>
          <w:rFonts w:ascii="宋体" w:hAnsi="宋体" w:cs="仿宋"/>
          <w:kern w:val="0"/>
          <w:sz w:val="28"/>
          <w:szCs w:val="28"/>
        </w:rPr>
      </w:pPr>
      <w:r>
        <w:rPr>
          <w:rFonts w:hint="eastAsia" w:ascii="宋体" w:hAnsi="宋体" w:cs="仿宋"/>
          <w:b/>
          <w:bCs/>
          <w:kern w:val="0"/>
          <w:sz w:val="28"/>
          <w:szCs w:val="28"/>
          <w:lang w:eastAsia="zh-CN"/>
        </w:rPr>
        <w:t>（</w:t>
      </w:r>
      <w:r>
        <w:rPr>
          <w:rFonts w:hint="eastAsia" w:ascii="宋体" w:hAnsi="宋体" w:cs="仿宋"/>
          <w:b/>
          <w:bCs/>
          <w:kern w:val="0"/>
          <w:sz w:val="28"/>
          <w:szCs w:val="28"/>
          <w:lang w:val="en-US" w:eastAsia="zh-CN"/>
        </w:rPr>
        <w:t>三</w:t>
      </w:r>
      <w:r>
        <w:rPr>
          <w:rFonts w:hint="eastAsia" w:ascii="宋体" w:hAnsi="宋体" w:cs="仿宋"/>
          <w:b/>
          <w:bCs/>
          <w:kern w:val="0"/>
          <w:sz w:val="28"/>
          <w:szCs w:val="28"/>
          <w:lang w:eastAsia="zh-CN"/>
        </w:rPr>
        <w:t>）</w:t>
      </w:r>
      <w:r>
        <w:rPr>
          <w:rFonts w:hint="eastAsia" w:ascii="宋体" w:hAnsi="宋体" w:cs="仿宋"/>
          <w:b/>
          <w:bCs/>
          <w:kern w:val="0"/>
          <w:sz w:val="28"/>
          <w:szCs w:val="28"/>
        </w:rPr>
        <w:t>残疾人福利性单位声明函</w:t>
      </w:r>
    </w:p>
    <w:p>
      <w:pPr>
        <w:spacing w:line="360" w:lineRule="auto"/>
        <w:ind w:firstLine="480" w:firstLineChars="200"/>
        <w:rPr>
          <w:rFonts w:ascii="宋体" w:hAnsi="宋体" w:cs="宋体"/>
          <w:kern w:val="0"/>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kern w:val="0"/>
          <w:sz w:val="24"/>
        </w:rPr>
      </w:pPr>
      <w:r>
        <w:rPr>
          <w:rFonts w:hint="eastAsia" w:ascii="宋体" w:hAnsi="宋体" w:cs="宋体"/>
          <w:kern w:val="0"/>
          <w:sz w:val="24"/>
        </w:rPr>
        <w:t>本单位对上述声明的真实性负责。如有虚假，将依法承担相应责任。</w:t>
      </w:r>
    </w:p>
    <w:p>
      <w:pPr>
        <w:spacing w:line="360" w:lineRule="auto"/>
        <w:ind w:firstLine="360" w:firstLineChars="150"/>
        <w:rPr>
          <w:rFonts w:ascii="Calibri" w:hAnsi="Calibri"/>
          <w:sz w:val="24"/>
        </w:rPr>
      </w:pPr>
    </w:p>
    <w:p>
      <w:pPr>
        <w:spacing w:line="360" w:lineRule="auto"/>
        <w:ind w:firstLine="360" w:firstLineChars="150"/>
        <w:rPr>
          <w:rFonts w:ascii="Calibri" w:hAnsi="Calibri"/>
          <w:sz w:val="24"/>
        </w:rPr>
      </w:pPr>
    </w:p>
    <w:p>
      <w:pPr>
        <w:spacing w:line="352" w:lineRule="auto"/>
        <w:ind w:left="4797" w:right="1449"/>
        <w:jc w:val="left"/>
        <w:rPr>
          <w:rFonts w:ascii="宋体" w:hAnsi="宋体" w:cs="仿宋"/>
          <w:kern w:val="0"/>
          <w:sz w:val="24"/>
        </w:rPr>
      </w:pPr>
      <w:r>
        <w:rPr>
          <w:rFonts w:hint="eastAsia" w:ascii="宋体" w:hAnsi="宋体" w:cs="仿宋"/>
          <w:kern w:val="0"/>
          <w:sz w:val="24"/>
        </w:rPr>
        <w:t xml:space="preserve">企业名称（电子签章）： </w:t>
      </w:r>
    </w:p>
    <w:p>
      <w:pPr>
        <w:spacing w:line="352" w:lineRule="auto"/>
        <w:ind w:left="4797" w:right="1449"/>
        <w:jc w:val="left"/>
        <w:rPr>
          <w:rFonts w:ascii="宋体" w:hAnsi="宋体" w:cs="仿宋"/>
          <w:kern w:val="0"/>
          <w:sz w:val="24"/>
        </w:rPr>
      </w:pPr>
      <w:r>
        <w:rPr>
          <w:rFonts w:hint="eastAsia" w:ascii="宋体" w:hAnsi="宋体" w:cs="仿宋"/>
          <w:kern w:val="0"/>
          <w:sz w:val="24"/>
        </w:rPr>
        <w:t>日 期：</w:t>
      </w:r>
    </w:p>
    <w:p>
      <w:pPr>
        <w:spacing w:line="360" w:lineRule="auto"/>
        <w:ind w:firstLine="960" w:firstLineChars="400"/>
        <w:rPr>
          <w:rFonts w:ascii="宋体" w:hAnsi="宋体" w:cs="宋体"/>
          <w:kern w:val="0"/>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说明：不属于残疾人福利性单位的投标文件中可不提供此声明函。</w:t>
      </w:r>
    </w:p>
    <w:p>
      <w:pPr>
        <w:spacing w:line="360" w:lineRule="auto"/>
        <w:ind w:firstLine="480" w:firstLineChars="200"/>
        <w:rPr>
          <w:rFonts w:ascii="宋体" w:hAnsi="宋体" w:cs="宋体"/>
          <w:kern w:val="0"/>
          <w:sz w:val="24"/>
        </w:rPr>
      </w:pPr>
      <w:r>
        <w:rPr>
          <w:rFonts w:hint="eastAsia" w:ascii="宋体" w:hAnsi="宋体" w:cs="宋体"/>
          <w:kern w:val="0"/>
          <w:sz w:val="24"/>
        </w:rPr>
        <w:t>残疾人福利性单位</w:t>
      </w:r>
      <w:r>
        <w:rPr>
          <w:rFonts w:hint="eastAsia" w:ascii="Calibri" w:hAnsi="宋体"/>
          <w:sz w:val="24"/>
        </w:rPr>
        <w:t>视同小型、微型企业，享受预留份额、评审中价格扣除等政府采购促进中小企业发展的政府采购政策。</w:t>
      </w:r>
    </w:p>
    <w:p>
      <w:pPr>
        <w:rPr>
          <w:rFonts w:ascii="Calibri" w:hAnsi="Calibri"/>
        </w:rPr>
      </w:pPr>
    </w:p>
    <w:p>
      <w:pPr>
        <w:rPr>
          <w:rFonts w:ascii="宋体" w:hAnsi="宋体"/>
        </w:rPr>
      </w:pPr>
      <w:r>
        <w:rPr>
          <w:rFonts w:ascii="宋体" w:hAnsi="宋体"/>
        </w:rPr>
        <w:br w:type="page"/>
      </w:r>
    </w:p>
    <w:p>
      <w:pPr>
        <w:pStyle w:val="24"/>
        <w:spacing w:after="0"/>
        <w:jc w:val="both"/>
        <w:outlineLvl w:val="2"/>
        <w:rPr>
          <w:rFonts w:ascii="Times New Roman" w:hAnsi="Times New Roman" w:eastAsia="Times New Roman" w:cs="Times New Roman"/>
          <w:b/>
          <w:kern w:val="0"/>
          <w:sz w:val="24"/>
          <w:szCs w:val="24"/>
          <w:lang w:val="en-US" w:eastAsia="zh-CN" w:bidi="ar-SA"/>
        </w:rPr>
      </w:pPr>
      <w:r>
        <w:rPr>
          <w:rFonts w:hint="eastAsia"/>
          <w:b/>
          <w:kern w:val="0"/>
          <w:sz w:val="24"/>
          <w:szCs w:val="24"/>
        </w:rPr>
        <w:t>附件</w:t>
      </w:r>
      <w:r>
        <w:rPr>
          <w:rFonts w:hint="eastAsia"/>
          <w:b/>
          <w:kern w:val="0"/>
          <w:sz w:val="24"/>
          <w:szCs w:val="24"/>
          <w:lang w:val="en-US" w:eastAsia="zh-CN"/>
        </w:rPr>
        <w:t>二</w:t>
      </w:r>
    </w:p>
    <w:p>
      <w:pPr>
        <w:pStyle w:val="24"/>
        <w:rPr>
          <w:lang w:eastAsia="zh-CN"/>
        </w:rPr>
      </w:pPr>
      <w:r>
        <w:t>河南省政府采购合同融资政策告知函</w:t>
      </w:r>
    </w:p>
    <w:p>
      <w:pPr>
        <w:pStyle w:val="16"/>
        <w:spacing w:before="0" w:beforeAutospacing="0" w:after="0" w:afterAutospacing="0" w:line="360" w:lineRule="auto"/>
        <w:ind w:firstLine="480" w:firstLineChars="200"/>
        <w:jc w:val="both"/>
        <w:rPr>
          <w:kern w:val="2"/>
          <w:sz w:val="24"/>
          <w:szCs w:val="24"/>
        </w:rPr>
      </w:pPr>
      <w:r>
        <w:rPr>
          <w:rFonts w:hint="eastAsia"/>
          <w:kern w:val="2"/>
          <w:sz w:val="24"/>
          <w:szCs w:val="24"/>
        </w:rPr>
        <w:t>各供应商：</w:t>
      </w:r>
    </w:p>
    <w:p>
      <w:pPr>
        <w:pStyle w:val="16"/>
        <w:spacing w:before="0" w:beforeAutospacing="0" w:after="0" w:afterAutospacing="0" w:line="360" w:lineRule="auto"/>
        <w:ind w:firstLine="480" w:firstLineChars="200"/>
        <w:jc w:val="both"/>
        <w:rPr>
          <w:kern w:val="2"/>
          <w:sz w:val="24"/>
          <w:szCs w:val="24"/>
        </w:rPr>
      </w:pPr>
      <w:r>
        <w:rPr>
          <w:rFonts w:hint="eastAsia"/>
          <w:kern w:val="2"/>
          <w:sz w:val="24"/>
          <w:szCs w:val="24"/>
        </w:rPr>
        <w:t>欢迎贵公司参与河南省政府采购活动！</w:t>
      </w:r>
    </w:p>
    <w:p>
      <w:pPr>
        <w:pStyle w:val="16"/>
        <w:spacing w:before="0" w:beforeAutospacing="0" w:after="0" w:afterAutospacing="0" w:line="360" w:lineRule="auto"/>
        <w:ind w:firstLine="480" w:firstLineChars="200"/>
        <w:jc w:val="both"/>
        <w:rPr>
          <w:kern w:val="2"/>
          <w:sz w:val="24"/>
          <w:szCs w:val="24"/>
        </w:rPr>
      </w:pPr>
      <w:r>
        <w:rPr>
          <w:rFonts w:hint="eastAsia"/>
          <w:kern w:val="2"/>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pStyle w:val="16"/>
        <w:spacing w:before="0" w:beforeAutospacing="0" w:after="0" w:afterAutospacing="0" w:line="360" w:lineRule="auto"/>
        <w:ind w:firstLine="480" w:firstLineChars="200"/>
        <w:jc w:val="both"/>
        <w:rPr>
          <w:kern w:val="2"/>
          <w:sz w:val="24"/>
          <w:szCs w:val="24"/>
          <w:lang w:val="zh-CN"/>
        </w:rPr>
      </w:pPr>
      <w:r>
        <w:rPr>
          <w:rFonts w:hint="eastAsia"/>
          <w:kern w:val="2"/>
          <w:sz w:val="24"/>
          <w:szCs w:val="24"/>
        </w:rPr>
        <w:t xml:space="preserve">贷款渠道和提供贷款的金融机构，可在河南省政府采购网 </w:t>
      </w:r>
      <w:r>
        <w:rPr>
          <w:rFonts w:hint="eastAsia"/>
          <w:kern w:val="2"/>
          <w:sz w:val="24"/>
          <w:szCs w:val="24"/>
          <w:lang w:val="zh-CN"/>
        </w:rPr>
        <w:t>“河南</w:t>
      </w:r>
      <w:r>
        <w:rPr>
          <w:rFonts w:hint="eastAsia"/>
          <w:kern w:val="2"/>
          <w:sz w:val="24"/>
          <w:szCs w:val="24"/>
        </w:rPr>
        <w:t>省政府采购合同融资</w:t>
      </w:r>
      <w:r>
        <w:rPr>
          <w:rFonts w:hint="eastAsia"/>
          <w:kern w:val="2"/>
          <w:sz w:val="24"/>
          <w:szCs w:val="24"/>
          <w:lang w:val="zh-CN"/>
        </w:rPr>
        <w:t>平台”</w:t>
      </w:r>
      <w:r>
        <w:rPr>
          <w:rFonts w:hint="eastAsia"/>
          <w:kern w:val="2"/>
          <w:sz w:val="24"/>
          <w:szCs w:val="24"/>
        </w:rPr>
        <w:t>查询</w:t>
      </w:r>
      <w:r>
        <w:rPr>
          <w:rFonts w:hint="eastAsia"/>
          <w:kern w:val="2"/>
          <w:sz w:val="24"/>
          <w:szCs w:val="24"/>
          <w:lang w:val="zh-CN"/>
        </w:rPr>
        <w:t>联系。</w:t>
      </w:r>
    </w:p>
    <w:p>
      <w:pPr>
        <w:pStyle w:val="2"/>
        <w:ind w:firstLine="0" w:firstLineChars="0"/>
        <w:rPr>
          <w:rFonts w:ascii="宋体" w:hAnsi="宋体"/>
        </w:r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sectPr>
      <w:headerReference r:id="rId6" w:type="default"/>
      <w:footerReference r:id="rId7" w:type="default"/>
      <w:pgSz w:w="11906" w:h="16838"/>
      <w:pgMar w:top="1213" w:right="1236" w:bottom="1213" w:left="1349"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tabs>
        <w:tab w:val="center" w:pos="4153"/>
        <w:tab w:val="right" w:pos="8306"/>
      </w:tabs>
    </w:pPr>
    <w:r>
      <w:fldChar w:fldCharType="begin"/>
    </w:r>
    <w:r>
      <w:instrText xml:space="preserve">PAGE  </w:instrText>
    </w:r>
    <w:r>
      <w:fldChar w:fldCharType="separate"/>
    </w:r>
    <w:r>
      <w:t>7</w:t>
    </w:r>
    <w:r>
      <w:fldChar w:fldCharType="end"/>
    </w:r>
  </w:p>
  <w:p>
    <w:pPr>
      <w:tabs>
        <w:tab w:val="center" w:pos="4153"/>
        <w:tab w:val="right"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right"/>
      <w:rPr>
        <w:rFonts w:hint="default" w:eastAsia="宋体"/>
        <w:sz w:val="20"/>
        <w:szCs w:val="21"/>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sz w:val="20"/>
        <w:szCs w:val="21"/>
        <w:lang w:val="en-US" w:eastAsia="zh-CN"/>
      </w:rPr>
      <w:t>河南远略工程管理有限公司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tabs>
        <w:tab w:val="center" w:pos="4153"/>
        <w:tab w:val="right" w:pos="8306"/>
      </w:tabs>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hint="eastAsia"/>
        <w:sz w:val="20"/>
        <w:szCs w:val="20"/>
      </w:rPr>
    </w:pPr>
    <w:r>
      <w:rPr>
        <w:rFonts w:hint="eastAsia" w:ascii="宋体" w:hAnsi="宋体" w:eastAsia="宋体" w:cs="宋体"/>
        <w:i w:val="0"/>
        <w:iCs w:val="0"/>
        <w:sz w:val="20"/>
        <w:szCs w:val="20"/>
        <w:u w:val="none"/>
        <w:lang w:eastAsia="zh-CN"/>
      </w:rPr>
      <w:t>平顶山市卫东区农业农村和水利局2023年卫东区光华路街道0.3万亩高标准农田建设项目</w:t>
    </w:r>
    <w:r>
      <w:rPr>
        <w:rFonts w:hint="eastAsia" w:ascii="宋体" w:hAnsi="宋体" w:eastAsia="宋体" w:cs="宋体"/>
        <w:i w:val="0"/>
        <w:iCs w:val="0"/>
        <w:sz w:val="20"/>
        <w:szCs w:val="20"/>
        <w:u w:val="none"/>
        <w:lang w:val="en-US" w:eastAsia="zh-CN"/>
      </w:rPr>
      <w:t xml:space="preserve">      </w:t>
    </w:r>
    <w:r>
      <w:rPr>
        <w:rFonts w:hint="eastAsia"/>
        <w:sz w:val="20"/>
        <w:szCs w:val="20"/>
        <w:lang w:val="en-US" w:eastAsia="zh-CN"/>
      </w:rPr>
      <w:t>磋商</w:t>
    </w:r>
    <w:r>
      <w:rPr>
        <w:rFonts w:hint="eastAsia"/>
        <w:sz w:val="20"/>
        <w:szCs w:val="20"/>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hMzdmYmJiMGI0MjM1ZTAxNTVmNTczYzgxOWVkZjcifQ=="/>
  </w:docVars>
  <w:rsids>
    <w:rsidRoot w:val="00000000"/>
    <w:rsid w:val="00850DBF"/>
    <w:rsid w:val="02F27C89"/>
    <w:rsid w:val="02FA67D2"/>
    <w:rsid w:val="04EB6EA8"/>
    <w:rsid w:val="053A13B6"/>
    <w:rsid w:val="067B71DA"/>
    <w:rsid w:val="06CE26FC"/>
    <w:rsid w:val="070659F4"/>
    <w:rsid w:val="076E35FA"/>
    <w:rsid w:val="087626B7"/>
    <w:rsid w:val="0EF67A2C"/>
    <w:rsid w:val="11BC0C90"/>
    <w:rsid w:val="12962202"/>
    <w:rsid w:val="13DC0460"/>
    <w:rsid w:val="143D36D4"/>
    <w:rsid w:val="16405EE5"/>
    <w:rsid w:val="18087684"/>
    <w:rsid w:val="1C580648"/>
    <w:rsid w:val="250F7D12"/>
    <w:rsid w:val="258316D2"/>
    <w:rsid w:val="26CE56A0"/>
    <w:rsid w:val="27644345"/>
    <w:rsid w:val="28414686"/>
    <w:rsid w:val="2ED34350"/>
    <w:rsid w:val="2F3A6637"/>
    <w:rsid w:val="3DB72FE5"/>
    <w:rsid w:val="3E793D04"/>
    <w:rsid w:val="40E41208"/>
    <w:rsid w:val="446B5CB5"/>
    <w:rsid w:val="44747A39"/>
    <w:rsid w:val="458E0492"/>
    <w:rsid w:val="47471BDF"/>
    <w:rsid w:val="48360E7A"/>
    <w:rsid w:val="4C1F1BB8"/>
    <w:rsid w:val="4FDA339E"/>
    <w:rsid w:val="51E25CE3"/>
    <w:rsid w:val="55631C30"/>
    <w:rsid w:val="583F72B7"/>
    <w:rsid w:val="58F92290"/>
    <w:rsid w:val="59A70187"/>
    <w:rsid w:val="5A643E22"/>
    <w:rsid w:val="5FB95FD9"/>
    <w:rsid w:val="61E17D65"/>
    <w:rsid w:val="626A7D5A"/>
    <w:rsid w:val="66F0050F"/>
    <w:rsid w:val="69834CA3"/>
    <w:rsid w:val="6E0A05E3"/>
    <w:rsid w:val="6F60051B"/>
    <w:rsid w:val="71BB4C59"/>
    <w:rsid w:val="727E2A24"/>
    <w:rsid w:val="732B3D6D"/>
    <w:rsid w:val="73A3649F"/>
    <w:rsid w:val="74932B19"/>
    <w:rsid w:val="750C6598"/>
    <w:rsid w:val="756C22ED"/>
    <w:rsid w:val="774E15A1"/>
    <w:rsid w:val="7B757978"/>
    <w:rsid w:val="7CF91FAF"/>
    <w:rsid w:val="7D0C3BC9"/>
    <w:rsid w:val="7D0D64BE"/>
    <w:rsid w:val="7D2F6EF9"/>
    <w:rsid w:val="7EF1630F"/>
    <w:rsid w:val="7F8C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7">
    <w:name w:val="heading 1"/>
    <w:basedOn w:val="1"/>
    <w:next w:val="1"/>
    <w:link w:val="20"/>
    <w:qFormat/>
    <w:uiPriority w:val="0"/>
    <w:pPr>
      <w:keepNext w:val="0"/>
      <w:keepLines w:val="0"/>
      <w:spacing w:line="360" w:lineRule="auto"/>
      <w:jc w:val="center"/>
      <w:outlineLvl w:val="0"/>
    </w:pPr>
    <w:rPr>
      <w:rFonts w:ascii="Times New Roman" w:hAnsi="Times New Roman" w:eastAsia="宋体" w:cstheme="minorBidi"/>
      <w:b/>
      <w:bCs/>
      <w:color w:val="000000" w:themeColor="text1"/>
      <w:kern w:val="44"/>
      <w:sz w:val="32"/>
      <w:szCs w:val="44"/>
      <w14:textFill>
        <w14:solidFill>
          <w14:schemeClr w14:val="tx1">
            <w14:alpha w14:val="0"/>
          </w14:schemeClr>
        </w14:solidFill>
      </w14:textFill>
    </w:rPr>
  </w:style>
  <w:style w:type="paragraph" w:styleId="8">
    <w:name w:val="heading 2"/>
    <w:basedOn w:val="1"/>
    <w:next w:val="1"/>
    <w:link w:val="21"/>
    <w:unhideWhenUsed/>
    <w:qFormat/>
    <w:uiPriority w:val="0"/>
    <w:pPr>
      <w:keepNext w:val="0"/>
      <w:keepLines w:val="0"/>
      <w:widowControl w:val="0"/>
      <w:spacing w:beforeLines="0" w:beforeAutospacing="0" w:afterLines="0" w:afterAutospacing="0" w:line="360" w:lineRule="auto"/>
      <w:ind w:left="0" w:firstLine="0"/>
      <w:jc w:val="center"/>
      <w:outlineLvl w:val="1"/>
    </w:pPr>
    <w:rPr>
      <w:rFonts w:ascii="Arial" w:hAnsi="Arial" w:cstheme="minorBidi"/>
      <w:color w:val="000000" w:themeColor="text1"/>
      <w:sz w:val="30"/>
      <w14:textFill>
        <w14:solidFill>
          <w14:schemeClr w14:val="tx1"/>
        </w14:solidFill>
      </w14:textFill>
    </w:rPr>
  </w:style>
  <w:style w:type="paragraph" w:styleId="9">
    <w:name w:val="heading 3"/>
    <w:basedOn w:val="1"/>
    <w:next w:val="1"/>
    <w:semiHidden/>
    <w:unhideWhenUsed/>
    <w:qFormat/>
    <w:uiPriority w:val="0"/>
    <w:pPr>
      <w:keepNext/>
      <w:keepLines/>
      <w:spacing w:beforeLines="0" w:beforeAutospacing="0" w:afterLines="0" w:afterAutospacing="0" w:line="360" w:lineRule="auto"/>
      <w:ind w:left="0" w:firstLine="0"/>
      <w:jc w:val="center"/>
      <w:outlineLvl w:val="2"/>
    </w:pPr>
    <w:rPr>
      <w:rFonts w:eastAsia="宋体" w:cs="Times New Roman" w:asciiTheme="minorAscii" w:hAnsiTheme="minorAscii"/>
      <w:kern w:val="2"/>
      <w:sz w:val="32"/>
      <w:szCs w:val="24"/>
    </w:rPr>
  </w:style>
  <w:style w:type="paragraph" w:styleId="10">
    <w:name w:val="heading 4"/>
    <w:basedOn w:val="1"/>
    <w:next w:val="1"/>
    <w:semiHidden/>
    <w:unhideWhenUsed/>
    <w:qFormat/>
    <w:uiPriority w:val="0"/>
    <w:pPr>
      <w:keepNext/>
      <w:keepLines/>
      <w:snapToGrid w:val="0"/>
      <w:spacing w:beforeLines="0" w:afterLines="0" w:line="360" w:lineRule="auto"/>
      <w:outlineLvl w:val="3"/>
    </w:pPr>
    <w:rPr>
      <w:rFonts w:ascii="Arial" w:hAnsi="Arial" w:eastAsia="黑体" w:cs="Times New Roman"/>
      <w:bCs/>
      <w:sz w:val="28"/>
      <w:szCs w:val="28"/>
    </w:rPr>
  </w:style>
  <w:style w:type="character" w:default="1" w:styleId="19">
    <w:name w:val="Default Paragraph Font"/>
    <w:semiHidden/>
    <w:unhideWhenUsed/>
    <w:qFormat/>
    <w:uiPriority w:val="1"/>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style>
  <w:style w:type="paragraph" w:styleId="3">
    <w:name w:val="Body Text"/>
    <w:basedOn w:val="1"/>
    <w:next w:val="4"/>
    <w:qFormat/>
    <w:uiPriority w:val="0"/>
    <w:pPr>
      <w:spacing w:after="120" w:afterLines="0"/>
    </w:pPr>
  </w:style>
  <w:style w:type="paragraph" w:styleId="4">
    <w:name w:val="Body Text 2"/>
    <w:basedOn w:val="1"/>
    <w:next w:val="3"/>
    <w:qFormat/>
    <w:uiPriority w:val="0"/>
    <w:pPr>
      <w:spacing w:line="340" w:lineRule="exact"/>
    </w:pPr>
    <w:rPr>
      <w:rFonts w:ascii="仿宋_GB2312" w:eastAsia="仿宋_GB2312"/>
      <w:sz w:val="28"/>
    </w:rPr>
  </w:style>
  <w:style w:type="paragraph" w:styleId="5">
    <w:name w:val="Body Text First Indent 2"/>
    <w:basedOn w:val="6"/>
    <w:next w:val="2"/>
    <w:qFormat/>
    <w:uiPriority w:val="0"/>
    <w:pPr>
      <w:ind w:firstLine="420"/>
    </w:pPr>
    <w:rPr>
      <w:sz w:val="21"/>
    </w:rPr>
  </w:style>
  <w:style w:type="paragraph" w:styleId="6">
    <w:name w:val="Body Text Indent"/>
    <w:basedOn w:val="1"/>
    <w:qFormat/>
    <w:uiPriority w:val="0"/>
    <w:pPr>
      <w:spacing w:after="120" w:afterLines="0"/>
      <w:ind w:left="420" w:leftChars="200"/>
    </w:pPr>
  </w:style>
  <w:style w:type="paragraph" w:styleId="11">
    <w:name w:val="Normal Indent"/>
    <w:basedOn w:val="1"/>
    <w:next w:val="1"/>
    <w:qFormat/>
    <w:uiPriority w:val="0"/>
    <w:pPr>
      <w:ind w:firstLine="420" w:firstLine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1 字符"/>
    <w:basedOn w:val="19"/>
    <w:link w:val="7"/>
    <w:qFormat/>
    <w:uiPriority w:val="9"/>
    <w:rPr>
      <w:rFonts w:ascii="Times New Roman" w:hAnsi="Times New Roman" w:eastAsia="宋体" w:cs="Times New Roman"/>
      <w:b/>
      <w:bCs/>
      <w:color w:val="000000" w:themeColor="text1"/>
      <w:kern w:val="44"/>
      <w:sz w:val="32"/>
      <w:szCs w:val="44"/>
      <w14:textFill>
        <w14:solidFill>
          <w14:schemeClr w14:val="tx1">
            <w14:alpha w14:val="0"/>
          </w14:schemeClr>
        </w14:solidFill>
      </w14:textFill>
    </w:rPr>
  </w:style>
  <w:style w:type="character" w:customStyle="1" w:styleId="21">
    <w:name w:val="标题 2 Char"/>
    <w:link w:val="8"/>
    <w:qFormat/>
    <w:uiPriority w:val="0"/>
    <w:rPr>
      <w:rFonts w:ascii="Arial" w:hAnsi="Arial" w:eastAsia="宋体"/>
      <w:b/>
      <w:color w:val="000000" w:themeColor="text1"/>
      <w:sz w:val="30"/>
      <w14:textFill>
        <w14:solidFill>
          <w14:schemeClr w14:val="tx1"/>
        </w14:solidFill>
      </w14:textFill>
    </w:rPr>
  </w:style>
  <w:style w:type="paragraph" w:customStyle="1" w:styleId="22">
    <w:name w:val="☆ 正文"/>
    <w:basedOn w:val="1"/>
    <w:qFormat/>
    <w:uiPriority w:val="0"/>
    <w:rPr>
      <w:rFonts w:ascii="Calibri" w:hAnsi="Calibri"/>
      <w:szCs w:val="24"/>
    </w:rPr>
  </w:style>
  <w:style w:type="paragraph" w:customStyle="1" w:styleId="23">
    <w:name w:val="无间隔1"/>
    <w:basedOn w:val="1"/>
    <w:next w:val="11"/>
    <w:qFormat/>
    <w:uiPriority w:val="0"/>
    <w:pPr>
      <w:spacing w:line="400" w:lineRule="exact"/>
    </w:pPr>
    <w:rPr>
      <w:sz w:val="24"/>
    </w:rPr>
  </w:style>
  <w:style w:type="paragraph" w:customStyle="1" w:styleId="24">
    <w:name w:val="Body text|3"/>
    <w:basedOn w:val="1"/>
    <w:qFormat/>
    <w:uiPriority w:val="0"/>
    <w:pPr>
      <w:spacing w:after="240"/>
      <w:jc w:val="center"/>
    </w:pPr>
    <w:rPr>
      <w:rFonts w:ascii="宋体" w:hAnsi="宋体" w:cs="宋体"/>
      <w:sz w:val="40"/>
      <w:szCs w:val="40"/>
      <w:lang w:val="zh-TW" w:eastAsia="zh-TW" w:bidi="zh-TW"/>
    </w:rPr>
  </w:style>
  <w:style w:type="paragraph" w:customStyle="1" w:styleId="25">
    <w:name w:val="表内文字"/>
    <w:basedOn w:val="1"/>
    <w:qFormat/>
    <w:uiPriority w:val="0"/>
    <w:pPr>
      <w:widowControl/>
      <w:overflowPunct w:val="0"/>
      <w:autoSpaceDE w:val="0"/>
      <w:autoSpaceDN w:val="0"/>
      <w:adjustRightInd w:val="0"/>
      <w:snapToGrid w:val="0"/>
      <w:spacing w:line="360" w:lineRule="exact"/>
      <w:jc w:val="center"/>
      <w:textAlignment w:val="baseline"/>
    </w:pPr>
    <w:rPr>
      <w:rFonts w:ascii="仿宋_GB2312" w:eastAsia="仿宋_GB2312"/>
      <w:spacing w:val="-20"/>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20983</Words>
  <Characters>22629</Characters>
  <Lines>0</Lines>
  <Paragraphs>0</Paragraphs>
  <TotalTime>0</TotalTime>
  <ScaleCrop>false</ScaleCrop>
  <LinksUpToDate>false</LinksUpToDate>
  <CharactersWithSpaces>24316</CharactersWithSpaces>
  <Application>WPS Office_11.1.0.15309_F1E327BC-269C-435d-A152-05C5408002CA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2023-06-05T03:24:00Z</dcterms:created>
  <dc:creator>Administrator</dc:creator>
  <cp:lastModifiedBy>鍂</cp:lastModifiedBy>
  <cp:lastPrinted>2023-09-04T06:56:00Z</cp:lastPrinted>
  <dcterms:modified xsi:type="dcterms:W3CDTF">2023-09-22T06:22:07Z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2052-11.1.0.15309</vt:lpwstr>
  </property>
  <property fmtid="{D5CDD505-2E9C-101B-9397-08002B2CF9AE}" pid="3" name="ICV">
    <vt:lpwstr>D05EE60B3B7F4C118F77897E3CCCCECD_12</vt:lpwstr>
  </property>
</Properties>
</file>