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AE3517">
      <w:pPr>
        <w:jc w:val="center"/>
        <w:rPr>
          <w:rFonts w:ascii="宋体" w:hAnsi="宋体" w:cs="宋体"/>
          <w:b/>
          <w:bCs/>
          <w:sz w:val="56"/>
          <w:szCs w:val="56"/>
          <w:lang w:val="zh-CN"/>
        </w:rPr>
      </w:pPr>
      <w:bookmarkStart w:id="1141" w:name="_GoBack"/>
      <w:bookmarkEnd w:id="1141"/>
      <w:r>
        <w:rPr>
          <w:rFonts w:ascii="宋体" w:hAnsi="宋体" w:cs="宋体"/>
          <w:b/>
          <w:bCs/>
          <w:sz w:val="56"/>
          <w:szCs w:val="56"/>
          <w:lang w:val="zh-CN"/>
        </w:rPr>
        <w:drawing>
          <wp:inline distT="0" distB="0" distL="114300" distR="114300">
            <wp:extent cx="5693410" cy="8820785"/>
            <wp:effectExtent l="0" t="0" r="2540" b="18415"/>
            <wp:docPr id="1" name="图片 1" descr="4139e6578f3126eb5cbd31c2e8d7c8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139e6578f3126eb5cbd31c2e8d7c8f8"/>
                    <pic:cNvPicPr>
                      <a:picLocks noChangeAspect="1"/>
                    </pic:cNvPicPr>
                  </pic:nvPicPr>
                  <pic:blipFill>
                    <a:blip r:embed="rId12"/>
                    <a:stretch>
                      <a:fillRect/>
                    </a:stretch>
                  </pic:blipFill>
                  <pic:spPr>
                    <a:xfrm>
                      <a:off x="0" y="0"/>
                      <a:ext cx="5693410" cy="8820785"/>
                    </a:xfrm>
                    <a:prstGeom prst="rect">
                      <a:avLst/>
                    </a:prstGeom>
                  </pic:spPr>
                </pic:pic>
              </a:graphicData>
            </a:graphic>
          </wp:inline>
        </w:drawing>
      </w:r>
    </w:p>
    <w:p w14:paraId="6E34583E">
      <w:pPr>
        <w:pStyle w:val="12"/>
        <w:ind w:firstLine="0"/>
        <w:rPr>
          <w:lang w:val="zh-CN"/>
        </w:rPr>
      </w:pPr>
    </w:p>
    <w:p w14:paraId="30BCA4FE">
      <w:pPr>
        <w:pStyle w:val="28"/>
        <w:spacing w:line="360" w:lineRule="auto"/>
        <w:ind w:left="0" w:leftChars="0" w:firstLine="0" w:firstLineChars="0"/>
        <w:jc w:val="center"/>
        <w:rPr>
          <w:rFonts w:hint="eastAsia" w:asciiTheme="minorEastAsia" w:hAnsiTheme="minorEastAsia" w:eastAsiaTheme="minorEastAsia" w:cstheme="minorEastAsia"/>
          <w:b/>
          <w:bCs/>
          <w:sz w:val="40"/>
          <w:szCs w:val="40"/>
          <w:lang w:val="zh-CN"/>
        </w:rPr>
      </w:pPr>
      <w:r>
        <w:rPr>
          <w:rFonts w:hint="eastAsia" w:asciiTheme="minorEastAsia" w:hAnsiTheme="minorEastAsia" w:eastAsiaTheme="minorEastAsia" w:cstheme="minorEastAsia"/>
          <w:b/>
          <w:bCs/>
          <w:sz w:val="40"/>
          <w:szCs w:val="40"/>
          <w:lang w:val="zh-CN"/>
        </w:rPr>
        <w:t>平顶山市卫东区教育体育局教学一体机设备采购项目</w:t>
      </w:r>
    </w:p>
    <w:p w14:paraId="7B152486">
      <w:pPr>
        <w:pStyle w:val="12"/>
        <w:ind w:firstLine="0"/>
        <w:rPr>
          <w:lang w:val="zh-CN"/>
        </w:rPr>
      </w:pPr>
    </w:p>
    <w:p w14:paraId="0241419A">
      <w:pPr>
        <w:pStyle w:val="28"/>
        <w:ind w:left="480" w:firstLine="480"/>
        <w:rPr>
          <w:lang w:val="zh-CN"/>
        </w:rPr>
      </w:pPr>
    </w:p>
    <w:p w14:paraId="63EFA95D">
      <w:pPr>
        <w:pStyle w:val="28"/>
        <w:ind w:left="480" w:firstLine="480"/>
        <w:rPr>
          <w:lang w:val="zh-CN"/>
        </w:rPr>
      </w:pPr>
    </w:p>
    <w:p w14:paraId="48E1725F">
      <w:pPr>
        <w:pStyle w:val="28"/>
        <w:ind w:left="480" w:firstLine="480"/>
        <w:rPr>
          <w:lang w:val="zh-CN"/>
        </w:rPr>
      </w:pPr>
    </w:p>
    <w:p w14:paraId="7F9C4BF2">
      <w:pPr>
        <w:pStyle w:val="28"/>
        <w:ind w:left="480" w:firstLine="480"/>
        <w:rPr>
          <w:lang w:val="zh-CN"/>
        </w:rPr>
      </w:pPr>
    </w:p>
    <w:p w14:paraId="00AC9085">
      <w:pPr>
        <w:pStyle w:val="12"/>
        <w:ind w:firstLine="0"/>
        <w:rPr>
          <w:lang w:val="zh-CN"/>
        </w:rPr>
      </w:pPr>
    </w:p>
    <w:p w14:paraId="7936823A">
      <w:pPr>
        <w:spacing w:line="276" w:lineRule="auto"/>
        <w:jc w:val="center"/>
        <w:rPr>
          <w:rFonts w:ascii="宋体" w:hAnsi="宋体" w:cs="宋体"/>
          <w:b/>
          <w:bCs/>
          <w:sz w:val="52"/>
          <w:szCs w:val="52"/>
          <w:lang w:val="zh-CN"/>
        </w:rPr>
      </w:pPr>
      <w:bookmarkStart w:id="0" w:name="_Toc10621"/>
      <w:bookmarkStart w:id="1" w:name="_Toc13672"/>
      <w:r>
        <w:rPr>
          <w:rFonts w:hint="eastAsia" w:ascii="宋体" w:hAnsi="宋体" w:cs="宋体"/>
          <w:b/>
          <w:bCs/>
          <w:sz w:val="72"/>
          <w:szCs w:val="72"/>
        </w:rPr>
        <w:t xml:space="preserve">招 标 </w:t>
      </w:r>
      <w:r>
        <w:rPr>
          <w:rFonts w:hint="eastAsia" w:ascii="宋体" w:hAnsi="宋体" w:cs="宋体"/>
          <w:b/>
          <w:bCs/>
          <w:sz w:val="72"/>
          <w:szCs w:val="72"/>
          <w:lang w:val="zh-CN"/>
        </w:rPr>
        <w:t>文</w:t>
      </w:r>
      <w:r>
        <w:rPr>
          <w:rFonts w:hint="eastAsia" w:ascii="宋体" w:hAnsi="宋体" w:cs="宋体"/>
          <w:b/>
          <w:bCs/>
          <w:sz w:val="72"/>
          <w:szCs w:val="72"/>
        </w:rPr>
        <w:t xml:space="preserve"> </w:t>
      </w:r>
      <w:r>
        <w:rPr>
          <w:rFonts w:hint="eastAsia" w:ascii="宋体" w:hAnsi="宋体" w:cs="宋体"/>
          <w:b/>
          <w:bCs/>
          <w:sz w:val="72"/>
          <w:szCs w:val="72"/>
          <w:lang w:val="zh-CN"/>
        </w:rPr>
        <w:t>件</w:t>
      </w:r>
      <w:bookmarkEnd w:id="0"/>
      <w:bookmarkEnd w:id="1"/>
    </w:p>
    <w:p w14:paraId="360482B7">
      <w:pPr>
        <w:pStyle w:val="2"/>
        <w:rPr>
          <w:lang w:val="zh-CN"/>
        </w:rPr>
      </w:pPr>
    </w:p>
    <w:p w14:paraId="6A92F0D6">
      <w:pPr>
        <w:pStyle w:val="2"/>
        <w:rPr>
          <w:lang w:val="zh-CN"/>
        </w:rPr>
      </w:pPr>
    </w:p>
    <w:p w14:paraId="7CFB4513">
      <w:pPr>
        <w:pStyle w:val="2"/>
        <w:rPr>
          <w:lang w:val="zh-CN"/>
        </w:rPr>
      </w:pPr>
    </w:p>
    <w:p w14:paraId="2F8B5BE3">
      <w:pPr>
        <w:pStyle w:val="2"/>
        <w:rPr>
          <w:lang w:val="zh-CN"/>
        </w:rPr>
      </w:pPr>
    </w:p>
    <w:p w14:paraId="17370F79">
      <w:pPr>
        <w:pStyle w:val="2"/>
        <w:rPr>
          <w:lang w:val="zh-CN"/>
        </w:rPr>
      </w:pPr>
    </w:p>
    <w:p w14:paraId="7C86E8C8">
      <w:pPr>
        <w:pStyle w:val="2"/>
        <w:rPr>
          <w:lang w:val="zh-CN"/>
        </w:rPr>
      </w:pPr>
    </w:p>
    <w:p w14:paraId="3E1B4E1B">
      <w:pPr>
        <w:pStyle w:val="2"/>
        <w:rPr>
          <w:lang w:val="zh-CN"/>
        </w:rPr>
      </w:pPr>
    </w:p>
    <w:p w14:paraId="45AB5C9F">
      <w:pPr>
        <w:pStyle w:val="2"/>
        <w:rPr>
          <w:lang w:val="zh-CN"/>
        </w:rPr>
      </w:pPr>
    </w:p>
    <w:p w14:paraId="1CC4144A">
      <w:pPr>
        <w:pStyle w:val="2"/>
        <w:rPr>
          <w:lang w:val="zh-CN"/>
        </w:rPr>
      </w:pPr>
    </w:p>
    <w:p w14:paraId="3CF7C0AF">
      <w:pPr>
        <w:pStyle w:val="2"/>
        <w:rPr>
          <w:lang w:val="zh-CN"/>
        </w:rPr>
      </w:pPr>
    </w:p>
    <w:p w14:paraId="21C9110F">
      <w:pPr>
        <w:pStyle w:val="2"/>
        <w:rPr>
          <w:lang w:val="zh-CN"/>
        </w:rPr>
      </w:pPr>
    </w:p>
    <w:p w14:paraId="2EEE80F2">
      <w:pPr>
        <w:pStyle w:val="12"/>
      </w:pPr>
    </w:p>
    <w:p w14:paraId="5E234F79">
      <w:pPr>
        <w:pStyle w:val="11"/>
        <w:rPr>
          <w:rFonts w:ascii="宋体" w:hAnsi="宋体" w:eastAsia="宋体" w:cs="宋体"/>
          <w:lang w:val="zh-CN"/>
        </w:rPr>
      </w:pPr>
    </w:p>
    <w:p w14:paraId="09BDD8F4">
      <w:pPr>
        <w:pStyle w:val="11"/>
        <w:rPr>
          <w:rFonts w:ascii="宋体" w:hAnsi="宋体" w:eastAsia="宋体" w:cs="宋体"/>
          <w:lang w:val="zh-CN"/>
        </w:rPr>
      </w:pPr>
    </w:p>
    <w:p w14:paraId="1507CEF7">
      <w:pPr>
        <w:pStyle w:val="11"/>
        <w:rPr>
          <w:rFonts w:ascii="宋体" w:hAnsi="宋体" w:eastAsia="宋体" w:cs="宋体"/>
          <w:lang w:val="zh-CN"/>
        </w:rPr>
      </w:pPr>
    </w:p>
    <w:p w14:paraId="6933EDE0">
      <w:pPr>
        <w:pStyle w:val="11"/>
        <w:rPr>
          <w:rFonts w:ascii="宋体" w:hAnsi="宋体" w:eastAsia="宋体" w:cs="宋体"/>
          <w:lang w:val="zh-CN"/>
        </w:rPr>
      </w:pPr>
    </w:p>
    <w:p w14:paraId="4AD4FAD4">
      <w:pPr>
        <w:pStyle w:val="11"/>
        <w:rPr>
          <w:rFonts w:ascii="宋体" w:hAnsi="宋体" w:eastAsia="宋体" w:cs="宋体"/>
          <w:lang w:val="zh-CN"/>
        </w:rPr>
      </w:pPr>
    </w:p>
    <w:p w14:paraId="50F4AF3B">
      <w:pPr>
        <w:pStyle w:val="12"/>
        <w:rPr>
          <w:lang w:val="zh-CN"/>
        </w:rPr>
      </w:pPr>
    </w:p>
    <w:p w14:paraId="1A75B6A1">
      <w:pPr>
        <w:tabs>
          <w:tab w:val="left" w:pos="-1155"/>
          <w:tab w:val="left" w:pos="-1050"/>
        </w:tabs>
        <w:spacing w:line="360" w:lineRule="auto"/>
        <w:ind w:right="-382" w:rightChars="-159" w:firstLine="1747" w:firstLineChars="500"/>
        <w:rPr>
          <w:rFonts w:ascii="宋体" w:hAnsi="宋体" w:cs="宋体"/>
          <w:b/>
          <w:spacing w:val="-6"/>
          <w:sz w:val="36"/>
          <w:szCs w:val="22"/>
        </w:rPr>
      </w:pPr>
      <w:bookmarkStart w:id="2" w:name="_Toc20222"/>
      <w:bookmarkStart w:id="3" w:name="_Toc8141"/>
      <w:bookmarkStart w:id="4" w:name="_Toc25778"/>
      <w:bookmarkStart w:id="5" w:name="_Toc26917"/>
      <w:bookmarkStart w:id="6" w:name="_Toc26103"/>
      <w:bookmarkStart w:id="7" w:name="_Toc2902"/>
      <w:bookmarkStart w:id="8" w:name="_Toc26783"/>
      <w:bookmarkStart w:id="9" w:name="_Toc3713"/>
      <w:bookmarkStart w:id="10" w:name="_Toc9409"/>
      <w:bookmarkStart w:id="11" w:name="_Toc23341"/>
      <w:r>
        <w:rPr>
          <w:rFonts w:hint="eastAsia" w:ascii="宋体" w:hAnsi="宋体" w:cs="宋体"/>
          <w:b/>
          <w:spacing w:val="-6"/>
          <w:sz w:val="36"/>
          <w:szCs w:val="22"/>
        </w:rPr>
        <w:t>采</w:t>
      </w:r>
      <w:r>
        <w:rPr>
          <w:rFonts w:hint="eastAsia" w:ascii="宋体" w:hAnsi="宋体" w:cs="宋体"/>
          <w:b/>
          <w:spacing w:val="-6"/>
          <w:sz w:val="36"/>
          <w:szCs w:val="22"/>
          <w:lang w:val="en-US" w:eastAsia="zh-CN"/>
        </w:rPr>
        <w:t xml:space="preserve"> </w:t>
      </w:r>
      <w:r>
        <w:rPr>
          <w:rFonts w:hint="eastAsia" w:ascii="宋体" w:hAnsi="宋体" w:cs="宋体"/>
          <w:b/>
          <w:spacing w:val="-6"/>
          <w:sz w:val="36"/>
          <w:szCs w:val="22"/>
        </w:rPr>
        <w:t xml:space="preserve"> </w:t>
      </w:r>
      <w:r>
        <w:rPr>
          <w:rFonts w:hint="eastAsia" w:ascii="宋体" w:hAnsi="宋体" w:cs="宋体"/>
          <w:b/>
          <w:spacing w:val="-6"/>
          <w:sz w:val="36"/>
          <w:szCs w:val="22"/>
          <w:lang w:val="en-US" w:eastAsia="zh-CN"/>
        </w:rPr>
        <w:t xml:space="preserve"> </w:t>
      </w:r>
      <w:r>
        <w:rPr>
          <w:rFonts w:hint="eastAsia" w:ascii="宋体" w:hAnsi="宋体" w:cs="宋体"/>
          <w:b/>
          <w:spacing w:val="-6"/>
          <w:sz w:val="36"/>
          <w:szCs w:val="22"/>
        </w:rPr>
        <w:t xml:space="preserve">购 </w:t>
      </w:r>
      <w:r>
        <w:rPr>
          <w:rFonts w:hint="eastAsia" w:ascii="宋体" w:hAnsi="宋体" w:cs="宋体"/>
          <w:b/>
          <w:spacing w:val="-6"/>
          <w:sz w:val="36"/>
          <w:szCs w:val="22"/>
          <w:lang w:val="en-US" w:eastAsia="zh-CN"/>
        </w:rPr>
        <w:t xml:space="preserve">  </w:t>
      </w:r>
      <w:r>
        <w:rPr>
          <w:rFonts w:hint="eastAsia" w:ascii="宋体" w:hAnsi="宋体" w:cs="宋体"/>
          <w:b/>
          <w:spacing w:val="-6"/>
          <w:sz w:val="36"/>
          <w:szCs w:val="22"/>
        </w:rPr>
        <w:t>人：</w:t>
      </w:r>
      <w:r>
        <w:rPr>
          <w:rFonts w:hint="eastAsia" w:ascii="宋体" w:hAnsi="宋体" w:cs="宋体"/>
          <w:b/>
          <w:spacing w:val="-6"/>
          <w:sz w:val="36"/>
          <w:szCs w:val="22"/>
          <w:lang w:val="zh-CN"/>
        </w:rPr>
        <w:t>平顶山市卫东区教育体育局</w:t>
      </w:r>
    </w:p>
    <w:p w14:paraId="219AF72C">
      <w:pPr>
        <w:tabs>
          <w:tab w:val="left" w:pos="-1155"/>
          <w:tab w:val="left" w:pos="-1050"/>
        </w:tabs>
        <w:spacing w:line="360" w:lineRule="auto"/>
        <w:ind w:right="-382" w:rightChars="-159" w:firstLine="1747" w:firstLineChars="500"/>
        <w:rPr>
          <w:rFonts w:ascii="宋体" w:hAnsi="宋体" w:cs="宋体"/>
          <w:b/>
          <w:spacing w:val="-6"/>
          <w:sz w:val="36"/>
          <w:szCs w:val="22"/>
        </w:rPr>
      </w:pPr>
      <w:r>
        <w:rPr>
          <w:rFonts w:hint="eastAsia" w:ascii="宋体" w:hAnsi="宋体" w:cs="宋体"/>
          <w:b/>
          <w:spacing w:val="-6"/>
          <w:sz w:val="36"/>
          <w:szCs w:val="22"/>
          <w:lang w:val="en-US" w:eastAsia="zh-CN"/>
        </w:rPr>
        <w:t>采购</w:t>
      </w:r>
      <w:r>
        <w:rPr>
          <w:rFonts w:hint="eastAsia" w:ascii="宋体" w:hAnsi="宋体" w:cs="宋体"/>
          <w:b/>
          <w:spacing w:val="-6"/>
          <w:sz w:val="36"/>
          <w:szCs w:val="22"/>
        </w:rPr>
        <w:t>代理机构：</w:t>
      </w:r>
      <w:r>
        <w:rPr>
          <w:rFonts w:hint="eastAsia" w:ascii="宋体" w:hAnsi="宋体" w:cs="宋体"/>
          <w:b/>
          <w:spacing w:val="-6"/>
          <w:sz w:val="36"/>
          <w:szCs w:val="22"/>
          <w:lang w:val="zh-CN"/>
        </w:rPr>
        <w:t>河南易采工程管理有限公司</w:t>
      </w:r>
    </w:p>
    <w:p w14:paraId="5A35CB44">
      <w:pPr>
        <w:tabs>
          <w:tab w:val="left" w:pos="-1155"/>
          <w:tab w:val="left" w:pos="-1050"/>
        </w:tabs>
        <w:spacing w:line="360" w:lineRule="auto"/>
        <w:ind w:right="-382" w:rightChars="-159" w:firstLine="1747" w:firstLineChars="500"/>
        <w:rPr>
          <w:rFonts w:ascii="宋体" w:hAnsi="宋体" w:cs="宋体"/>
          <w:b/>
          <w:spacing w:val="-6"/>
          <w:sz w:val="36"/>
          <w:szCs w:val="22"/>
        </w:rPr>
      </w:pPr>
      <w:r>
        <w:rPr>
          <w:rFonts w:hint="eastAsia" w:ascii="宋体" w:hAnsi="宋体" w:cs="宋体"/>
          <w:b/>
          <w:spacing w:val="-6"/>
          <w:sz w:val="36"/>
          <w:szCs w:val="22"/>
        </w:rPr>
        <w:t>日    期：二</w:t>
      </w:r>
      <w:r>
        <w:rPr>
          <w:rFonts w:hint="eastAsia" w:ascii="宋体" w:hAnsi="宋体" w:cs="宋体"/>
          <w:b/>
          <w:spacing w:val="-6"/>
          <w:sz w:val="36"/>
          <w:szCs w:val="22"/>
          <w:lang w:val="en-US" w:eastAsia="zh-CN"/>
        </w:rPr>
        <w:t>〇</w:t>
      </w:r>
      <w:r>
        <w:rPr>
          <w:rFonts w:hint="eastAsia" w:ascii="宋体" w:hAnsi="宋体" w:cs="宋体"/>
          <w:b/>
          <w:spacing w:val="-6"/>
          <w:sz w:val="36"/>
          <w:szCs w:val="22"/>
        </w:rPr>
        <w:t>二</w:t>
      </w:r>
      <w:r>
        <w:rPr>
          <w:rFonts w:hint="eastAsia" w:ascii="宋体" w:hAnsi="宋体" w:cs="宋体"/>
          <w:b/>
          <w:spacing w:val="-6"/>
          <w:sz w:val="36"/>
          <w:szCs w:val="22"/>
          <w:lang w:val="en-US" w:eastAsia="zh-CN"/>
        </w:rPr>
        <w:t>五</w:t>
      </w:r>
      <w:r>
        <w:rPr>
          <w:rFonts w:hint="eastAsia" w:ascii="宋体" w:hAnsi="宋体" w:cs="宋体"/>
          <w:b/>
          <w:spacing w:val="-6"/>
          <w:sz w:val="36"/>
          <w:szCs w:val="22"/>
        </w:rPr>
        <w:t>年</w:t>
      </w:r>
      <w:r>
        <w:rPr>
          <w:rFonts w:hint="eastAsia" w:ascii="宋体" w:hAnsi="宋体" w:cs="宋体"/>
          <w:b/>
          <w:spacing w:val="-6"/>
          <w:sz w:val="36"/>
          <w:szCs w:val="22"/>
          <w:lang w:val="en-US" w:eastAsia="zh-CN"/>
        </w:rPr>
        <w:t>十二</w:t>
      </w:r>
      <w:r>
        <w:rPr>
          <w:rFonts w:hint="eastAsia" w:ascii="宋体" w:hAnsi="宋体" w:cs="宋体"/>
          <w:b/>
          <w:spacing w:val="-6"/>
          <w:sz w:val="36"/>
          <w:szCs w:val="22"/>
        </w:rPr>
        <w:t>月</w:t>
      </w:r>
    </w:p>
    <w:p w14:paraId="19734B5F">
      <w:pPr>
        <w:pStyle w:val="12"/>
      </w:pPr>
    </w:p>
    <w:p w14:paraId="286781BD">
      <w:pPr>
        <w:jc w:val="center"/>
        <w:rPr>
          <w:rFonts w:ascii="宋体" w:hAnsi="宋体" w:cs="宋体"/>
          <w:b/>
          <w:bCs/>
          <w:sz w:val="32"/>
          <w:szCs w:val="32"/>
        </w:rPr>
        <w:sectPr>
          <w:headerReference r:id="rId4" w:type="first"/>
          <w:footerReference r:id="rId6" w:type="first"/>
          <w:headerReference r:id="rId3" w:type="default"/>
          <w:footerReference r:id="rId5" w:type="default"/>
          <w:pgSz w:w="11849" w:h="16781"/>
          <w:pgMar w:top="1440" w:right="1080" w:bottom="1440" w:left="1080" w:header="680" w:footer="992" w:gutter="0"/>
          <w:pgNumType w:start="1"/>
          <w:cols w:space="720" w:num="1"/>
          <w:titlePg/>
          <w:docGrid w:linePitch="397" w:charSpace="0"/>
        </w:sectPr>
      </w:pPr>
    </w:p>
    <w:bookmarkEnd w:id="2"/>
    <w:bookmarkEnd w:id="3"/>
    <w:bookmarkEnd w:id="4"/>
    <w:bookmarkEnd w:id="5"/>
    <w:bookmarkEnd w:id="6"/>
    <w:bookmarkEnd w:id="7"/>
    <w:bookmarkEnd w:id="8"/>
    <w:bookmarkEnd w:id="9"/>
    <w:bookmarkEnd w:id="10"/>
    <w:bookmarkEnd w:id="11"/>
    <w:sdt>
      <w:sdtPr>
        <w:rPr>
          <w:rFonts w:ascii="Times New Roman" w:hAnsi="Times New Roman" w:eastAsia="宋体" w:cs="Times New Roman"/>
          <w:b w:val="0"/>
          <w:bCs w:val="0"/>
          <w:color w:val="auto"/>
          <w:kern w:val="2"/>
          <w:sz w:val="48"/>
          <w:szCs w:val="48"/>
          <w:lang w:val="zh-CN"/>
        </w:rPr>
        <w:id w:val="-1855723224"/>
        <w:docPartObj>
          <w:docPartGallery w:val="Table of Contents"/>
          <w:docPartUnique/>
        </w:docPartObj>
      </w:sdtPr>
      <w:sdtEndPr>
        <w:rPr>
          <w:rFonts w:ascii="Times New Roman" w:hAnsi="Times New Roman" w:eastAsia="宋体" w:cs="Times New Roman"/>
          <w:b w:val="0"/>
          <w:bCs w:val="0"/>
          <w:color w:val="auto"/>
          <w:kern w:val="2"/>
          <w:sz w:val="24"/>
          <w:szCs w:val="24"/>
          <w:lang w:val="zh-CN"/>
        </w:rPr>
      </w:sdtEndPr>
      <w:sdtContent>
        <w:p w14:paraId="729F1824">
          <w:pPr>
            <w:pStyle w:val="102"/>
            <w:spacing w:line="360" w:lineRule="auto"/>
            <w:jc w:val="center"/>
            <w:rPr>
              <w:rFonts w:asciiTheme="minorEastAsia" w:hAnsiTheme="minorEastAsia" w:eastAsiaTheme="minorEastAsia"/>
              <w:b w:val="0"/>
              <w:color w:val="auto"/>
              <w:sz w:val="36"/>
              <w:szCs w:val="36"/>
            </w:rPr>
          </w:pPr>
          <w:bookmarkStart w:id="12" w:name="_Toc14735"/>
          <w:bookmarkStart w:id="13" w:name="_Toc26913"/>
          <w:bookmarkStart w:id="14" w:name="_Toc13561"/>
          <w:bookmarkStart w:id="15" w:name="_Toc23537"/>
          <w:bookmarkStart w:id="16" w:name="_Toc17203"/>
          <w:bookmarkStart w:id="17" w:name="_Toc31306"/>
          <w:bookmarkStart w:id="18" w:name="_Toc22692_WPSOffice_Level1"/>
          <w:bookmarkStart w:id="19" w:name="_Toc3727"/>
          <w:bookmarkStart w:id="20" w:name="_Toc16632"/>
          <w:bookmarkStart w:id="21" w:name="_Toc31309"/>
          <w:bookmarkStart w:id="22" w:name="_Toc9717_WPSOffice_Level1"/>
          <w:bookmarkStart w:id="23" w:name="_Toc5772"/>
          <w:bookmarkStart w:id="24" w:name="_Toc25703"/>
          <w:bookmarkStart w:id="25" w:name="_Toc18071"/>
          <w:bookmarkStart w:id="26" w:name="_Toc5164"/>
          <w:bookmarkStart w:id="27" w:name="_Toc7666"/>
          <w:bookmarkStart w:id="28" w:name="_Toc26488"/>
          <w:bookmarkStart w:id="29" w:name="_Toc14250"/>
          <w:bookmarkStart w:id="30" w:name="_Toc25127"/>
          <w:bookmarkStart w:id="31" w:name="_Toc17524"/>
          <w:r>
            <w:rPr>
              <w:rFonts w:asciiTheme="minorEastAsia" w:hAnsiTheme="minorEastAsia" w:eastAsiaTheme="minorEastAsia"/>
              <w:b w:val="0"/>
              <w:color w:val="auto"/>
              <w:sz w:val="36"/>
              <w:szCs w:val="36"/>
              <w:lang w:val="zh-CN"/>
            </w:rPr>
            <w:t>目</w:t>
          </w:r>
          <w:r>
            <w:rPr>
              <w:rFonts w:hint="eastAsia" w:asciiTheme="minorEastAsia" w:hAnsiTheme="minorEastAsia" w:eastAsiaTheme="minorEastAsia"/>
              <w:b w:val="0"/>
              <w:color w:val="auto"/>
              <w:sz w:val="36"/>
              <w:szCs w:val="36"/>
              <w:lang w:val="zh-CN"/>
            </w:rPr>
            <w:t xml:space="preserve"> </w:t>
          </w:r>
          <w:r>
            <w:rPr>
              <w:rFonts w:asciiTheme="minorEastAsia" w:hAnsiTheme="minorEastAsia" w:eastAsiaTheme="minorEastAsia"/>
              <w:b w:val="0"/>
              <w:color w:val="auto"/>
              <w:sz w:val="36"/>
              <w:szCs w:val="36"/>
              <w:lang w:val="zh-CN"/>
            </w:rPr>
            <w:t>录</w:t>
          </w:r>
        </w:p>
        <w:p w14:paraId="6C90EA49">
          <w:pPr>
            <w:pStyle w:val="21"/>
            <w:tabs>
              <w:tab w:val="right" w:leader="dot" w:pos="9689"/>
            </w:tabs>
            <w:spacing w:line="360" w:lineRule="auto"/>
            <w:rPr>
              <w:rFonts w:hint="eastAsia" w:ascii="宋体" w:hAnsi="宋体" w:eastAsia="宋体" w:cs="宋体"/>
              <w:b w:val="0"/>
              <w:bCs w:val="0"/>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TOC \o "1-3" \h \z \u </w:instrText>
          </w:r>
          <w:r>
            <w:rPr>
              <w:rFonts w:hint="eastAsia" w:ascii="宋体" w:hAnsi="宋体" w:cs="宋体"/>
              <w:sz w:val="21"/>
              <w:szCs w:val="21"/>
            </w:rPr>
            <w:fldChar w:fldCharType="separate"/>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HYPERLINK \l _Toc7472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lang w:val="zh-CN"/>
            </w:rPr>
            <w:t>第一部分  招标公告</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_Toc7472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3</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rPr>
            <w:fldChar w:fldCharType="end"/>
          </w:r>
        </w:p>
        <w:p w14:paraId="68D399CC">
          <w:pPr>
            <w:pStyle w:val="21"/>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_Toc26556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第二部分  投标人须知</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_Toc26556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6</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2AC07BDD">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_Toc16253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rPr>
            <w:t>投标人须知前附表</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_Toc16253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6</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26C216FC">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_Toc26109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一、说明</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_Toc26109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13</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50199AB8">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_Toc11619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1.适用范围</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_Toc11619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13</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14F2F187">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_Toc6638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2.采购方式、合格的投标人</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_Toc6638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13</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44A1C87F">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_Toc29125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3</w:t>
          </w:r>
          <w:r>
            <w:rPr>
              <w:rFonts w:hint="eastAsia" w:ascii="宋体" w:hAnsi="宋体" w:eastAsia="宋体" w:cs="宋体"/>
              <w:b w:val="0"/>
              <w:bCs w:val="0"/>
              <w:sz w:val="21"/>
              <w:szCs w:val="21"/>
              <w:lang w:val="en-US" w:eastAsia="zh-CN"/>
            </w:rPr>
            <w:t>.</w:t>
          </w:r>
          <w:r>
            <w:rPr>
              <w:rFonts w:hint="eastAsia" w:ascii="宋体" w:hAnsi="宋体" w:eastAsia="宋体" w:cs="宋体"/>
              <w:b w:val="0"/>
              <w:bCs w:val="0"/>
              <w:sz w:val="21"/>
              <w:szCs w:val="21"/>
              <w:lang w:val="zh-CN"/>
            </w:rPr>
            <w:t>投标费用</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_Toc29125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13</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55D446A0">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_Toc841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二、招标文件说明</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_Toc841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13</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1E6016AF">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_Toc5009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4.招标文件的构成</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_Toc5009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13</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478090AB">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_Toc26654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5.招标公告、招标文件、采购活动和中标结果的质疑</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_Toc26654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13</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2B60CB88">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_Toc5174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6.招标文件的澄清或修改</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_Toc5174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13</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7981E5A8">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_Toc9442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三、投标文件的编制</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_Toc9442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14</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720A5535">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_Toc15733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7.投标文件的语言及度量衡单位</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_Toc15733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14</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2F1EE4B8">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_Toc14252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8.投标报价及币种</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_Toc14252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14</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2C8FD753">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_Toc21028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9.投标保证金</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_Toc21028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14</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0756FDC8">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_Toc10386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10.投标有效期</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_Toc10386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14</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4996848D">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_Toc12346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11.投标文件构成</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_Toc12346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14</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681E5968">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_Toc27876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12.投标文件的编制要求</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_Toc27876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15</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71843E0B">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_Toc27226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四、投标文件的提交</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_Toc27226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15</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7E4C5434">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_Toc10379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13</w:t>
          </w:r>
          <w:r>
            <w:rPr>
              <w:rFonts w:hint="eastAsia" w:ascii="宋体" w:hAnsi="宋体" w:eastAsia="宋体" w:cs="宋体"/>
              <w:b w:val="0"/>
              <w:bCs w:val="0"/>
              <w:sz w:val="21"/>
              <w:szCs w:val="21"/>
              <w:lang w:val="en-US" w:eastAsia="zh-CN"/>
            </w:rPr>
            <w:t>.</w:t>
          </w:r>
          <w:r>
            <w:rPr>
              <w:rFonts w:hint="eastAsia" w:ascii="宋体" w:hAnsi="宋体" w:eastAsia="宋体" w:cs="宋体"/>
              <w:b w:val="0"/>
              <w:bCs w:val="0"/>
              <w:sz w:val="21"/>
              <w:szCs w:val="21"/>
              <w:lang w:val="zh-CN"/>
            </w:rPr>
            <w:t>电子化投标文件的格式及上传投标</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_Toc10379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15</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7D3997A9">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_Toc32089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14.提交投标文件的时间、地点、方式</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_Toc32089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16</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4B4F4A42">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_Toc32762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15.投标文件的补充、修改或者撤回</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_Toc32762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16</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4693D5F3">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_Toc10090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五、开标</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_Toc10090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16</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67AB6265">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_Toc19412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16.开标</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_Toc19412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16</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1646B9B1">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_Toc21595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六、资格审查程序</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_Toc21595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17</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11686F67">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_Toc18340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17.资格审查</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_Toc18340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17</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6E22392A">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_Toc15516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七、评审程序及方法</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_Toc15516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17</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7663D0FF">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_Toc20712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18.评标委员会</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_Toc20712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17</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101C0BBD">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_Toc23386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19.评审工作程序</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_Toc23386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19</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40F84559">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_Toc17204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20.评审方法和标准</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_Toc17204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20</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7974D17B">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_Toc7817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八、中标</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_Toc7817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23</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6CECC06A">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_Toc6803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21.推荐并确定中标人</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_Toc6803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23</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5F9B5651">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_Toc26692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22.中标通知</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_Toc26692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23</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51A9C138">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_Toc13806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九、授予合同</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_Toc13806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23</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0D771A62">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_Toc29741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23</w:t>
          </w:r>
          <w:r>
            <w:rPr>
              <w:rFonts w:hint="eastAsia" w:ascii="宋体" w:hAnsi="宋体" w:eastAsia="宋体" w:cs="宋体"/>
              <w:b w:val="0"/>
              <w:bCs w:val="0"/>
              <w:sz w:val="21"/>
              <w:szCs w:val="21"/>
              <w:lang w:val="en-US" w:eastAsia="zh-CN"/>
            </w:rPr>
            <w:t>.</w:t>
          </w:r>
          <w:r>
            <w:rPr>
              <w:rFonts w:hint="eastAsia" w:ascii="宋体" w:hAnsi="宋体" w:eastAsia="宋体" w:cs="宋体"/>
              <w:b w:val="0"/>
              <w:bCs w:val="0"/>
              <w:sz w:val="21"/>
              <w:szCs w:val="21"/>
              <w:lang w:val="zh-CN"/>
            </w:rPr>
            <w:t>签订合同</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_Toc29741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23</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65E85EBA">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_Toc8556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十、招标代理费</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_Toc8556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24</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5AF5FF49">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_Toc2217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十一、其他</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_Toc2217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24</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16C7BA5C">
          <w:pPr>
            <w:pStyle w:val="21"/>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_Toc20789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第三部分  合同条款</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_Toc20789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26</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7E63E6A1">
          <w:pPr>
            <w:pStyle w:val="21"/>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_Toc14085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第四部分  投标文件格式</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_Toc14085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30</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23781782">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_Toc2078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rPr>
            <w:t>目录</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_Toc2078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31</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06A4DE2E">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_Toc12636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rPr>
            <w:t>一、投标函</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_Toc12636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32</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0BC7F04A">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_Toc16755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rPr>
            <w:t>二、开标一览表</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_Toc16755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33</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70A333C7">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_Toc2404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rPr>
            <w:t>三、法定代表人身份证明和授权委托书</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_Toc2404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34</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1DB3D186">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_Toc13791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rPr>
            <w:t>四、 投标货物分项报价表</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_Toc13791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36</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40E3BCAC">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_Toc7354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rPr>
            <w:t>五、技术参数响应/偏离表</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_Toc7354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37</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58FA3F05">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_Toc30650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rPr>
            <w:t>六、</w:t>
          </w:r>
          <w:r>
            <w:rPr>
              <w:rFonts w:hint="eastAsia" w:ascii="宋体" w:hAnsi="宋体" w:eastAsia="宋体" w:cs="宋体"/>
              <w:b w:val="0"/>
              <w:bCs w:val="0"/>
              <w:sz w:val="21"/>
              <w:szCs w:val="21"/>
              <w:lang w:val="en-US" w:eastAsia="zh-CN"/>
            </w:rPr>
            <w:t>服务</w:t>
          </w:r>
          <w:r>
            <w:rPr>
              <w:rFonts w:hint="eastAsia" w:ascii="宋体" w:hAnsi="宋体" w:eastAsia="宋体" w:cs="宋体"/>
              <w:b w:val="0"/>
              <w:bCs w:val="0"/>
              <w:sz w:val="21"/>
              <w:szCs w:val="21"/>
            </w:rPr>
            <w:t>方案</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_Toc30650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38</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2BF7E96C">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_Toc31415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en-US" w:eastAsia="zh-CN"/>
            </w:rPr>
            <w:t>七</w:t>
          </w:r>
          <w:r>
            <w:rPr>
              <w:rFonts w:hint="eastAsia" w:ascii="宋体" w:hAnsi="宋体" w:eastAsia="宋体" w:cs="宋体"/>
              <w:b w:val="0"/>
              <w:bCs w:val="0"/>
              <w:sz w:val="21"/>
              <w:szCs w:val="21"/>
            </w:rPr>
            <w:t>、资格证明文件</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_Toc31415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39</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76E2B640">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_Toc11704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一</w:t>
          </w:r>
          <w:r>
            <w:rPr>
              <w:rFonts w:hint="eastAsia" w:ascii="宋体" w:hAnsi="宋体" w:eastAsia="宋体" w:cs="宋体"/>
              <w:b w:val="0"/>
              <w:bCs w:val="0"/>
              <w:sz w:val="21"/>
              <w:szCs w:val="21"/>
            </w:rPr>
            <w:t>）资格证明材料</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_Toc11704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39</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414D0330">
          <w:pPr>
            <w:pStyle w:val="15"/>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_Toc14588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二</w:t>
          </w:r>
          <w:r>
            <w:rPr>
              <w:rFonts w:hint="eastAsia" w:ascii="宋体" w:hAnsi="宋体" w:eastAsia="宋体" w:cs="宋体"/>
              <w:b w:val="0"/>
              <w:bCs w:val="0"/>
              <w:sz w:val="21"/>
              <w:szCs w:val="21"/>
            </w:rPr>
            <w:t>）政府采购供应商信用承诺函</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_Toc14588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40</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48E9F126">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_Toc25033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en-US" w:eastAsia="zh-CN"/>
            </w:rPr>
            <w:t>八</w:t>
          </w:r>
          <w:r>
            <w:rPr>
              <w:rFonts w:hint="eastAsia" w:ascii="宋体" w:hAnsi="宋体" w:eastAsia="宋体" w:cs="宋体"/>
              <w:b w:val="0"/>
              <w:bCs w:val="0"/>
              <w:sz w:val="21"/>
              <w:szCs w:val="21"/>
            </w:rPr>
            <w:t>、招标代理费支付承诺</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_Toc25033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41</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1F7DCAD8">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_Toc8515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en-US" w:eastAsia="zh-CN"/>
            </w:rPr>
            <w:t>九</w:t>
          </w:r>
          <w:r>
            <w:rPr>
              <w:rFonts w:hint="eastAsia" w:ascii="宋体" w:hAnsi="宋体" w:eastAsia="宋体" w:cs="宋体"/>
              <w:b w:val="0"/>
              <w:bCs w:val="0"/>
              <w:sz w:val="21"/>
              <w:szCs w:val="21"/>
            </w:rPr>
            <w:t>、投标承诺函</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_Toc8515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42</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4A047AA1">
          <w:pPr>
            <w:pStyle w:val="22"/>
            <w:tabs>
              <w:tab w:val="right" w:leader="dot" w:pos="9689"/>
            </w:tabs>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_Toc10277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rPr>
            <w:t>十、其他资料</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_Toc10277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44</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67EBB1AB">
          <w:pPr>
            <w:pStyle w:val="21"/>
            <w:tabs>
              <w:tab w:val="right" w:leader="dot" w:pos="9689"/>
            </w:tabs>
            <w:spacing w:line="360" w:lineRule="auto"/>
          </w:pPr>
          <w:r>
            <w:rPr>
              <w:rFonts w:hint="eastAsia" w:ascii="宋体" w:hAnsi="宋体" w:eastAsia="宋体" w:cs="宋体"/>
              <w:b w:val="0"/>
              <w:bCs w:val="0"/>
              <w:sz w:val="21"/>
              <w:szCs w:val="21"/>
              <w:lang w:val="zh-CN"/>
            </w:rPr>
            <w:fldChar w:fldCharType="begin"/>
          </w:r>
          <w:r>
            <w:rPr>
              <w:rFonts w:hint="eastAsia" w:ascii="宋体" w:hAnsi="宋体" w:eastAsia="宋体" w:cs="宋体"/>
              <w:b w:val="0"/>
              <w:bCs w:val="0"/>
              <w:sz w:val="21"/>
              <w:szCs w:val="21"/>
              <w:lang w:val="zh-CN"/>
            </w:rPr>
            <w:instrText xml:space="preserve"> HYPERLINK \l _Toc10943 </w:instrText>
          </w:r>
          <w:r>
            <w:rPr>
              <w:rFonts w:hint="eastAsia" w:ascii="宋体" w:hAnsi="宋体" w:eastAsia="宋体" w:cs="宋体"/>
              <w:b w:val="0"/>
              <w:bCs w:val="0"/>
              <w:sz w:val="21"/>
              <w:szCs w:val="21"/>
              <w:lang w:val="zh-CN"/>
            </w:rPr>
            <w:fldChar w:fldCharType="separate"/>
          </w:r>
          <w:r>
            <w:rPr>
              <w:rFonts w:hint="eastAsia" w:ascii="宋体" w:hAnsi="宋体" w:eastAsia="宋体" w:cs="宋体"/>
              <w:b w:val="0"/>
              <w:bCs w:val="0"/>
              <w:sz w:val="21"/>
              <w:szCs w:val="21"/>
              <w:lang w:val="zh-CN"/>
            </w:rPr>
            <w:t>第五部分 采购内容及技术参数要求</w:t>
          </w:r>
          <w:r>
            <w:rPr>
              <w:rFonts w:hint="eastAsia" w:ascii="宋体" w:hAnsi="宋体" w:eastAsia="宋体" w:cs="宋体"/>
              <w:b w:val="0"/>
              <w:bCs w:val="0"/>
              <w:sz w:val="21"/>
              <w:szCs w:val="21"/>
            </w:rPr>
            <w:tab/>
          </w:r>
          <w:r>
            <w:rPr>
              <w:rFonts w:hint="eastAsia" w:ascii="宋体" w:hAnsi="宋体" w:eastAsia="宋体" w:cs="宋体"/>
              <w:b w:val="0"/>
              <w:bCs w:val="0"/>
              <w:sz w:val="21"/>
              <w:szCs w:val="21"/>
            </w:rPr>
            <w:fldChar w:fldCharType="begin"/>
          </w:r>
          <w:r>
            <w:rPr>
              <w:rFonts w:hint="eastAsia" w:ascii="宋体" w:hAnsi="宋体" w:eastAsia="宋体" w:cs="宋体"/>
              <w:b w:val="0"/>
              <w:bCs w:val="0"/>
              <w:sz w:val="21"/>
              <w:szCs w:val="21"/>
            </w:rPr>
            <w:instrText xml:space="preserve"> PAGEREF _Toc10943 \h </w:instrText>
          </w:r>
          <w:r>
            <w:rPr>
              <w:rFonts w:hint="eastAsia" w:ascii="宋体" w:hAnsi="宋体" w:eastAsia="宋体" w:cs="宋体"/>
              <w:b w:val="0"/>
              <w:bCs w:val="0"/>
              <w:sz w:val="21"/>
              <w:szCs w:val="21"/>
            </w:rPr>
            <w:fldChar w:fldCharType="separate"/>
          </w:r>
          <w:r>
            <w:rPr>
              <w:rFonts w:hint="eastAsia" w:ascii="宋体" w:hAnsi="宋体" w:eastAsia="宋体" w:cs="宋体"/>
              <w:b w:val="0"/>
              <w:bCs w:val="0"/>
              <w:sz w:val="21"/>
              <w:szCs w:val="21"/>
            </w:rPr>
            <w:t>52</w:t>
          </w:r>
          <w:r>
            <w:rPr>
              <w:rFonts w:hint="eastAsia" w:ascii="宋体" w:hAnsi="宋体" w:eastAsia="宋体" w:cs="宋体"/>
              <w:b w:val="0"/>
              <w:bCs w:val="0"/>
              <w:sz w:val="21"/>
              <w:szCs w:val="21"/>
            </w:rPr>
            <w:fldChar w:fldCharType="end"/>
          </w:r>
          <w:r>
            <w:rPr>
              <w:rFonts w:hint="eastAsia" w:ascii="宋体" w:hAnsi="宋体" w:eastAsia="宋体" w:cs="宋体"/>
              <w:b w:val="0"/>
              <w:bCs w:val="0"/>
              <w:sz w:val="21"/>
              <w:szCs w:val="21"/>
              <w:lang w:val="zh-CN"/>
            </w:rPr>
            <w:fldChar w:fldCharType="end"/>
          </w:r>
        </w:p>
        <w:p w14:paraId="30D9BB67">
          <w:pPr>
            <w:spacing w:line="360" w:lineRule="auto"/>
          </w:pPr>
          <w:r>
            <w:rPr>
              <w:rFonts w:hint="eastAsia" w:ascii="宋体" w:hAnsi="宋体" w:cs="宋体"/>
              <w:bCs/>
              <w:szCs w:val="21"/>
              <w:lang w:val="zh-CN"/>
            </w:rPr>
            <w:fldChar w:fldCharType="end"/>
          </w:r>
        </w:p>
      </w:sdtContent>
    </w:sdt>
    <w:p w14:paraId="05D92957">
      <w:pPr>
        <w:spacing w:line="360" w:lineRule="auto"/>
        <w:rPr>
          <w:rFonts w:ascii="宋体" w:hAnsi="宋体" w:cs="宋体"/>
          <w:sz w:val="21"/>
          <w:szCs w:val="21"/>
        </w:rPr>
      </w:pPr>
    </w:p>
    <w:p w14:paraId="05484B08">
      <w:pPr>
        <w:rPr>
          <w:rFonts w:ascii="宋体" w:hAnsi="宋体" w:cs="宋体"/>
        </w:rPr>
      </w:pPr>
    </w:p>
    <w:p w14:paraId="6433FB57">
      <w:pPr>
        <w:rPr>
          <w:rFonts w:ascii="宋体" w:hAnsi="宋体" w:cs="宋体"/>
        </w:rPr>
      </w:pPr>
    </w:p>
    <w:p w14:paraId="75523B4E">
      <w:pPr>
        <w:rPr>
          <w:rFonts w:ascii="宋体" w:hAnsi="宋体" w:cs="宋体"/>
        </w:rPr>
      </w:pPr>
    </w:p>
    <w:p w14:paraId="13E4B5E3">
      <w:pPr>
        <w:rPr>
          <w:rFonts w:ascii="宋体" w:hAnsi="宋体" w:cs="宋体"/>
        </w:rPr>
      </w:pPr>
    </w:p>
    <w:p w14:paraId="5BC7AFA4">
      <w:pPr>
        <w:pStyle w:val="26"/>
        <w:spacing w:before="0" w:after="0" w:line="360" w:lineRule="auto"/>
        <w:rPr>
          <w:rFonts w:ascii="宋体" w:hAnsi="宋体" w:cs="宋体"/>
          <w:szCs w:val="36"/>
          <w:lang w:val="zh-CN"/>
        </w:rPr>
        <w:sectPr>
          <w:footerReference r:id="rId8" w:type="first"/>
          <w:footerReference r:id="rId7" w:type="default"/>
          <w:pgSz w:w="11849" w:h="16781"/>
          <w:pgMar w:top="1440" w:right="1080" w:bottom="1440" w:left="1080" w:header="680" w:footer="992" w:gutter="0"/>
          <w:pgNumType w:start="1"/>
          <w:cols w:space="720" w:num="1"/>
          <w:docGrid w:linePitch="397" w:charSpace="0"/>
        </w:sectPr>
      </w:pPr>
      <w:bookmarkStart w:id="32" w:name="_Toc30138"/>
      <w:bookmarkStart w:id="33" w:name="_Toc1382"/>
    </w:p>
    <w:p w14:paraId="6FED1EB0">
      <w:pPr>
        <w:pStyle w:val="26"/>
        <w:spacing w:before="0" w:after="0" w:line="360" w:lineRule="auto"/>
        <w:rPr>
          <w:rFonts w:ascii="宋体" w:hAnsi="宋体" w:cs="宋体"/>
          <w:szCs w:val="36"/>
          <w:lang w:val="zh-CN"/>
        </w:rPr>
      </w:pPr>
      <w:bookmarkStart w:id="34" w:name="_Toc31512"/>
      <w:bookmarkStart w:id="35" w:name="_Toc7472"/>
      <w:r>
        <w:rPr>
          <w:rFonts w:hint="eastAsia" w:ascii="宋体" w:hAnsi="宋体" w:cs="宋体"/>
          <w:szCs w:val="36"/>
          <w:lang w:val="zh-CN"/>
        </w:rPr>
        <w:t xml:space="preserve">第一部分  </w:t>
      </w:r>
      <w:bookmarkEnd w:id="12"/>
      <w:r>
        <w:rPr>
          <w:rFonts w:hint="eastAsia" w:ascii="宋体" w:hAnsi="宋体" w:cs="宋体"/>
          <w:szCs w:val="36"/>
          <w:lang w:val="zh-CN"/>
        </w:rPr>
        <w:t>招标公告</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508957A0">
      <w:pPr>
        <w:spacing w:line="460" w:lineRule="exact"/>
        <w:jc w:val="center"/>
        <w:rPr>
          <w:rFonts w:ascii="宋体" w:hAnsi="宋体" w:cs="宋体"/>
          <w:b/>
          <w:bCs/>
          <w:sz w:val="32"/>
          <w:szCs w:val="32"/>
        </w:rPr>
      </w:pPr>
      <w:bookmarkStart w:id="36" w:name="_Hlk96347323"/>
      <w:bookmarkStart w:id="37" w:name="_Toc428180535"/>
      <w:r>
        <w:rPr>
          <w:rFonts w:hint="eastAsia" w:ascii="宋体" w:hAnsi="宋体" w:cs="宋体"/>
          <w:b/>
          <w:bCs/>
          <w:sz w:val="32"/>
          <w:szCs w:val="32"/>
          <w:lang w:val="zh-CN"/>
        </w:rPr>
        <w:t>【平公资采202</w:t>
      </w:r>
      <w:r>
        <w:rPr>
          <w:rFonts w:hint="eastAsia" w:ascii="宋体" w:hAnsi="宋体" w:cs="宋体"/>
          <w:b/>
          <w:bCs/>
          <w:sz w:val="32"/>
          <w:szCs w:val="32"/>
          <w:lang w:val="en-US" w:eastAsia="zh-CN"/>
        </w:rPr>
        <w:t>669</w:t>
      </w:r>
      <w:r>
        <w:rPr>
          <w:rFonts w:hint="eastAsia" w:ascii="宋体" w:hAnsi="宋体" w:cs="宋体"/>
          <w:b/>
          <w:bCs/>
          <w:sz w:val="32"/>
          <w:szCs w:val="32"/>
          <w:lang w:val="zh-CN"/>
        </w:rPr>
        <w:t>号】平顶山市卫东区教育体育局教学一体机设备采购项目</w:t>
      </w:r>
      <w:r>
        <w:rPr>
          <w:rFonts w:hint="eastAsia" w:ascii="宋体" w:hAnsi="宋体" w:cs="宋体"/>
          <w:b/>
          <w:bCs/>
          <w:sz w:val="32"/>
          <w:szCs w:val="32"/>
        </w:rPr>
        <w:t>招标公告</w:t>
      </w:r>
    </w:p>
    <w:p w14:paraId="03F850F4">
      <w:pPr>
        <w:pStyle w:val="1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项目概况</w:t>
      </w:r>
    </w:p>
    <w:p w14:paraId="0C816571">
      <w:pPr>
        <w:pStyle w:val="1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平顶山市卫东区教育体育局教学一体机设备采购项目的潜在投标人应在平顶山市公共资源交易中心网</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http://ggzy.pds.gov.cn/</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获取招标文件，并于202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20</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00</w:t>
      </w:r>
      <w:r>
        <w:rPr>
          <w:rFonts w:hint="eastAsia" w:asciiTheme="minorEastAsia" w:hAnsiTheme="minorEastAsia" w:eastAsiaTheme="minorEastAsia" w:cstheme="minorEastAsia"/>
          <w:sz w:val="21"/>
          <w:szCs w:val="21"/>
        </w:rPr>
        <w:t>分（北京时间）前递交投标文件。</w:t>
      </w:r>
    </w:p>
    <w:bookmarkEnd w:id="36"/>
    <w:p w14:paraId="395FCDBC">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一、项目基本情况</w:t>
      </w:r>
    </w:p>
    <w:p w14:paraId="541BE2F3">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1、项目编号：</w:t>
      </w:r>
      <w:r>
        <w:rPr>
          <w:rFonts w:hint="eastAsia" w:asciiTheme="minorEastAsia" w:hAnsiTheme="minorEastAsia" w:eastAsiaTheme="minorEastAsia" w:cstheme="minorEastAsia"/>
          <w:b w:val="0"/>
          <w:bCs w:val="0"/>
          <w:sz w:val="21"/>
          <w:szCs w:val="21"/>
        </w:rPr>
        <w:t>平卫采招标-2025-13</w:t>
      </w:r>
    </w:p>
    <w:p w14:paraId="0B4FA224">
      <w:pPr>
        <w:spacing w:line="360" w:lineRule="auto"/>
        <w:ind w:firstLine="422"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2、项目名称：</w:t>
      </w:r>
      <w:r>
        <w:rPr>
          <w:rFonts w:hint="eastAsia" w:asciiTheme="minorEastAsia" w:hAnsiTheme="minorEastAsia" w:eastAsiaTheme="minorEastAsia" w:cstheme="minorEastAsia"/>
          <w:b w:val="0"/>
          <w:bCs w:val="0"/>
          <w:sz w:val="21"/>
          <w:szCs w:val="21"/>
          <w:lang w:val="zh-CN"/>
        </w:rPr>
        <w:t>平顶山市卫东区教育体育局教学一体机设备采购项目</w:t>
      </w:r>
    </w:p>
    <w:p w14:paraId="6C315C2B">
      <w:pPr>
        <w:spacing w:line="360" w:lineRule="auto"/>
        <w:ind w:firstLine="422"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3、采购方式：</w:t>
      </w:r>
      <w:r>
        <w:rPr>
          <w:rFonts w:hint="eastAsia" w:asciiTheme="minorEastAsia" w:hAnsiTheme="minorEastAsia" w:eastAsiaTheme="minorEastAsia" w:cstheme="minorEastAsia"/>
          <w:bCs/>
          <w:sz w:val="21"/>
          <w:szCs w:val="21"/>
        </w:rPr>
        <w:t>公开招标</w:t>
      </w:r>
    </w:p>
    <w:p w14:paraId="1DF99E21">
      <w:pPr>
        <w:spacing w:line="360" w:lineRule="auto"/>
        <w:ind w:firstLine="422"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4、预算金额：</w:t>
      </w:r>
      <w:r>
        <w:rPr>
          <w:rFonts w:hint="eastAsia" w:asciiTheme="minorEastAsia" w:hAnsiTheme="minorEastAsia" w:eastAsiaTheme="minorEastAsia" w:cstheme="minorEastAsia"/>
          <w:b w:val="0"/>
          <w:bCs/>
          <w:sz w:val="21"/>
          <w:szCs w:val="21"/>
          <w:lang w:val="en-US" w:eastAsia="zh-CN"/>
        </w:rPr>
        <w:t>880000.00</w:t>
      </w:r>
      <w:r>
        <w:rPr>
          <w:rFonts w:hint="eastAsia" w:asciiTheme="minorEastAsia" w:hAnsiTheme="minorEastAsia" w:eastAsiaTheme="minorEastAsia" w:cstheme="minorEastAsia"/>
          <w:b w:val="0"/>
          <w:bCs/>
          <w:sz w:val="21"/>
          <w:szCs w:val="21"/>
        </w:rPr>
        <w:t>元</w:t>
      </w:r>
      <w:r>
        <w:rPr>
          <w:rFonts w:hint="eastAsia" w:asciiTheme="minorEastAsia" w:hAnsiTheme="minorEastAsia" w:eastAsiaTheme="minorEastAsia" w:cstheme="minorEastAsia"/>
          <w:sz w:val="21"/>
          <w:szCs w:val="21"/>
        </w:rPr>
        <w:t>；最高限价：</w:t>
      </w:r>
      <w:r>
        <w:rPr>
          <w:rFonts w:hint="eastAsia" w:asciiTheme="minorEastAsia" w:hAnsiTheme="minorEastAsia" w:eastAsiaTheme="minorEastAsia" w:cstheme="minorEastAsia"/>
          <w:b w:val="0"/>
          <w:bCs/>
          <w:sz w:val="21"/>
          <w:szCs w:val="21"/>
          <w:lang w:val="en-US" w:eastAsia="zh-CN"/>
        </w:rPr>
        <w:t>880000.00</w:t>
      </w:r>
      <w:r>
        <w:rPr>
          <w:rFonts w:hint="eastAsia" w:asciiTheme="minorEastAsia" w:hAnsiTheme="minorEastAsia" w:eastAsiaTheme="minorEastAsia" w:cstheme="minorEastAsia"/>
          <w:sz w:val="21"/>
          <w:szCs w:val="21"/>
        </w:rPr>
        <w:t>元。</w:t>
      </w:r>
    </w:p>
    <w:tbl>
      <w:tblPr>
        <w:tblStyle w:val="29"/>
        <w:tblW w:w="49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2193"/>
        <w:gridCol w:w="3686"/>
        <w:gridCol w:w="1420"/>
        <w:gridCol w:w="1826"/>
      </w:tblGrid>
      <w:tr w14:paraId="511A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367" w:type="pct"/>
            <w:vAlign w:val="center"/>
          </w:tcPr>
          <w:p w14:paraId="6EC4896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1113" w:type="pct"/>
            <w:vAlign w:val="center"/>
          </w:tcPr>
          <w:p w14:paraId="248F4A5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包号</w:t>
            </w:r>
          </w:p>
        </w:tc>
        <w:tc>
          <w:tcPr>
            <w:tcW w:w="1871" w:type="pct"/>
            <w:vAlign w:val="center"/>
          </w:tcPr>
          <w:p w14:paraId="1ED18FA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包名称</w:t>
            </w:r>
          </w:p>
        </w:tc>
        <w:tc>
          <w:tcPr>
            <w:tcW w:w="721" w:type="pct"/>
            <w:vAlign w:val="center"/>
          </w:tcPr>
          <w:p w14:paraId="0E7FD00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包预算（元）</w:t>
            </w:r>
          </w:p>
        </w:tc>
        <w:tc>
          <w:tcPr>
            <w:tcW w:w="927" w:type="pct"/>
            <w:vAlign w:val="center"/>
          </w:tcPr>
          <w:p w14:paraId="5E8B96A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包最高限价（元）</w:t>
            </w:r>
          </w:p>
        </w:tc>
      </w:tr>
      <w:tr w14:paraId="4A0D1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367" w:type="pct"/>
            <w:vAlign w:val="center"/>
          </w:tcPr>
          <w:p w14:paraId="0A18543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113" w:type="pct"/>
            <w:vAlign w:val="center"/>
          </w:tcPr>
          <w:p w14:paraId="1B1BA84C">
            <w:pPr>
              <w:pStyle w:val="2"/>
              <w:spacing w:line="36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平公资采</w:t>
            </w:r>
            <w:r>
              <w:rPr>
                <w:rFonts w:hint="eastAsia" w:asciiTheme="minorEastAsia" w:hAnsiTheme="minorEastAsia" w:eastAsiaTheme="minorEastAsia" w:cstheme="minorEastAsia"/>
                <w:sz w:val="21"/>
                <w:szCs w:val="21"/>
                <w:lang w:val="en-US" w:eastAsia="zh-CN"/>
              </w:rPr>
              <w:t>202669</w:t>
            </w:r>
            <w:r>
              <w:rPr>
                <w:rFonts w:hint="eastAsia" w:asciiTheme="minorEastAsia" w:hAnsiTheme="minorEastAsia" w:eastAsiaTheme="minorEastAsia" w:cstheme="minorEastAsia"/>
                <w:sz w:val="21"/>
                <w:szCs w:val="21"/>
              </w:rPr>
              <w:t>号</w:t>
            </w:r>
            <w:r>
              <w:rPr>
                <w:rFonts w:hint="eastAsia" w:asciiTheme="minorEastAsia" w:hAnsiTheme="minorEastAsia" w:eastAsiaTheme="minorEastAsia" w:cstheme="minorEastAsia"/>
                <w:sz w:val="21"/>
                <w:szCs w:val="21"/>
                <w:lang w:val="en-US" w:eastAsia="zh-CN"/>
              </w:rPr>
              <w:t>-1</w:t>
            </w:r>
          </w:p>
        </w:tc>
        <w:tc>
          <w:tcPr>
            <w:tcW w:w="1871" w:type="pct"/>
            <w:vAlign w:val="center"/>
          </w:tcPr>
          <w:p w14:paraId="542843F5">
            <w:pPr>
              <w:pStyle w:val="2"/>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lang w:val="zh-CN"/>
                <w14:textFill>
                  <w14:solidFill>
                    <w14:schemeClr w14:val="tx1"/>
                  </w14:solidFill>
                </w14:textFill>
              </w:rPr>
              <w:t>平顶山市卫东区教育体育局教学一体机设备采购项目</w:t>
            </w:r>
          </w:p>
        </w:tc>
        <w:tc>
          <w:tcPr>
            <w:tcW w:w="721" w:type="pct"/>
            <w:vAlign w:val="center"/>
          </w:tcPr>
          <w:p w14:paraId="5D602463">
            <w:pPr>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color w:val="000000" w:themeColor="text1"/>
                <w:sz w:val="21"/>
                <w:szCs w:val="21"/>
                <w:lang w:val="en-US" w:eastAsia="zh-CN"/>
                <w14:textFill>
                  <w14:solidFill>
                    <w14:schemeClr w14:val="tx1"/>
                  </w14:solidFill>
                </w14:textFill>
              </w:rPr>
              <w:t>880000.00</w:t>
            </w:r>
          </w:p>
        </w:tc>
        <w:tc>
          <w:tcPr>
            <w:tcW w:w="927" w:type="pct"/>
            <w:vAlign w:val="center"/>
          </w:tcPr>
          <w:p w14:paraId="4DE5D0FE">
            <w:pPr>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color w:val="000000" w:themeColor="text1"/>
                <w:sz w:val="21"/>
                <w:szCs w:val="21"/>
                <w:lang w:val="en-US" w:eastAsia="zh-CN"/>
                <w14:textFill>
                  <w14:solidFill>
                    <w14:schemeClr w14:val="tx1"/>
                  </w14:solidFill>
                </w14:textFill>
              </w:rPr>
              <w:t>880000.00</w:t>
            </w:r>
          </w:p>
        </w:tc>
      </w:tr>
    </w:tbl>
    <w:p w14:paraId="55DF7640">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5、采购需求（包括但不限于标的的名称、数量、简要技术需求或服务要求等）</w:t>
      </w:r>
    </w:p>
    <w:p w14:paraId="2E585A36">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（1）</w:t>
      </w:r>
      <w:r>
        <w:rPr>
          <w:rFonts w:hint="eastAsia" w:asciiTheme="minorEastAsia" w:hAnsiTheme="minorEastAsia" w:eastAsiaTheme="minorEastAsia" w:cstheme="minorEastAsia"/>
          <w:sz w:val="21"/>
          <w:szCs w:val="21"/>
        </w:rPr>
        <w:t>采购内容：拟采购触控一体机等设备一批（详见采购文件）；</w:t>
      </w:r>
    </w:p>
    <w:p w14:paraId="7E99F47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（2）质量要求：符合国家或行业相关标准，质量合格；</w:t>
      </w:r>
    </w:p>
    <w:p w14:paraId="1AA1DEA7">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（3）交货地点：采购人指定地点；</w:t>
      </w:r>
    </w:p>
    <w:p w14:paraId="4213DE6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（4）供货及安装期：合同签订后20日历天内供货安装完毕。</w:t>
      </w:r>
    </w:p>
    <w:p w14:paraId="1D1E3D37">
      <w:pPr>
        <w:pStyle w:val="12"/>
        <w:spacing w:line="360" w:lineRule="auto"/>
        <w:ind w:firstLineChars="199"/>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6、合同履约期限：/</w:t>
      </w:r>
    </w:p>
    <w:p w14:paraId="3052C14C">
      <w:pPr>
        <w:pStyle w:val="12"/>
        <w:spacing w:line="360" w:lineRule="auto"/>
        <w:ind w:firstLineChars="199"/>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7、本项目是否接受联合体投标：</w:t>
      </w:r>
      <w:r>
        <w:rPr>
          <w:rFonts w:hint="eastAsia" w:asciiTheme="minorEastAsia" w:hAnsiTheme="minorEastAsia" w:eastAsiaTheme="minorEastAsia" w:cstheme="minorEastAsia"/>
          <w:bCs/>
          <w:sz w:val="21"/>
          <w:szCs w:val="21"/>
        </w:rPr>
        <w:t>否</w:t>
      </w:r>
    </w:p>
    <w:p w14:paraId="7D104A84">
      <w:pPr>
        <w:pStyle w:val="12"/>
        <w:spacing w:line="360" w:lineRule="auto"/>
        <w:ind w:firstLineChars="199"/>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8、是否接受进口产品：</w:t>
      </w:r>
      <w:r>
        <w:rPr>
          <w:rFonts w:hint="eastAsia" w:asciiTheme="minorEastAsia" w:hAnsiTheme="minorEastAsia" w:eastAsiaTheme="minorEastAsia" w:cstheme="minorEastAsia"/>
          <w:bCs/>
          <w:sz w:val="21"/>
          <w:szCs w:val="21"/>
        </w:rPr>
        <w:t>否</w:t>
      </w:r>
    </w:p>
    <w:p w14:paraId="1F513C0E">
      <w:pPr>
        <w:pStyle w:val="12"/>
        <w:spacing w:line="360" w:lineRule="auto"/>
        <w:ind w:firstLineChars="199"/>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bCs/>
          <w:sz w:val="21"/>
          <w:szCs w:val="21"/>
        </w:rPr>
        <w:t>9、是否专门面向中小企业：</w:t>
      </w:r>
      <w:r>
        <w:rPr>
          <w:rFonts w:hint="eastAsia" w:asciiTheme="minorEastAsia" w:hAnsiTheme="minorEastAsia" w:eastAsiaTheme="minorEastAsia" w:cstheme="minorEastAsia"/>
          <w:bCs/>
          <w:sz w:val="21"/>
          <w:szCs w:val="21"/>
        </w:rPr>
        <w:t>否。</w:t>
      </w:r>
    </w:p>
    <w:p w14:paraId="04348D7D">
      <w:pPr>
        <w:pStyle w:val="12"/>
        <w:spacing w:line="360" w:lineRule="auto"/>
        <w:ind w:firstLine="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二、申请人资格要求：</w:t>
      </w:r>
    </w:p>
    <w:p w14:paraId="16D9FC98">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1、满足《中华人民共和国政府采购法》第二十二条规定；</w:t>
      </w:r>
    </w:p>
    <w:p w14:paraId="68E31B37">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2、落实政府采购政策满足的资格要求：/</w:t>
      </w:r>
      <w:r>
        <w:rPr>
          <w:rFonts w:hint="eastAsia" w:asciiTheme="minorEastAsia" w:hAnsiTheme="minorEastAsia" w:eastAsiaTheme="minorEastAsia" w:cstheme="minorEastAsia"/>
          <w:bCs/>
          <w:sz w:val="21"/>
          <w:szCs w:val="21"/>
        </w:rPr>
        <w:t>；</w:t>
      </w:r>
    </w:p>
    <w:p w14:paraId="4D850520">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3、本项目的特定资格要求</w:t>
      </w:r>
    </w:p>
    <w:p w14:paraId="0430210D">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3.1</w:t>
      </w:r>
      <w:r>
        <w:rPr>
          <w:rFonts w:hint="eastAsia" w:asciiTheme="minorEastAsia" w:hAnsiTheme="minorEastAsia" w:eastAsiaTheme="minorEastAsia" w:cstheme="minorEastAsia"/>
          <w:sz w:val="21"/>
          <w:szCs w:val="21"/>
        </w:rPr>
        <w:t>具有独立承担民事责任的能力；（提供有效的营业执照、税务登记证、组织机构代码证或三证合一营业执照，也可提供电子营业执照）；</w:t>
      </w:r>
    </w:p>
    <w:p w14:paraId="7650822E">
      <w:pPr>
        <w:spacing w:line="360" w:lineRule="auto"/>
        <w:ind w:firstLine="420" w:firstLineChars="200"/>
        <w:rPr>
          <w:rFonts w:hint="eastAsia" w:ascii="宋体" w:hAnsi="宋体" w:cs="宋体"/>
          <w:sz w:val="21"/>
          <w:szCs w:val="21"/>
        </w:rPr>
      </w:pPr>
      <w:r>
        <w:rPr>
          <w:rFonts w:hint="eastAsia" w:ascii="宋体" w:hAnsi="宋体" w:cs="宋体"/>
          <w:sz w:val="21"/>
          <w:szCs w:val="21"/>
        </w:rPr>
        <w:t>3.</w:t>
      </w:r>
      <w:r>
        <w:rPr>
          <w:rFonts w:hint="eastAsia" w:ascii="宋体" w:hAnsi="宋体" w:cs="宋体"/>
          <w:sz w:val="21"/>
          <w:szCs w:val="21"/>
          <w:lang w:val="en-US" w:eastAsia="zh-CN"/>
        </w:rPr>
        <w:t>2</w:t>
      </w:r>
      <w:r>
        <w:rPr>
          <w:rFonts w:hint="eastAsia" w:ascii="宋体" w:hAnsi="宋体" w:cs="宋体"/>
          <w:sz w:val="21"/>
          <w:szCs w:val="21"/>
        </w:rPr>
        <w:t>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供应商只需在资格审查满足相应条件的书面承诺书（格式详见后附件：政府采购供应商信用承诺书），不再需要提供以下证明材料：</w:t>
      </w:r>
    </w:p>
    <w:p w14:paraId="74358E7B">
      <w:pPr>
        <w:spacing w:line="360" w:lineRule="auto"/>
        <w:ind w:firstLine="420" w:firstLineChars="200"/>
        <w:rPr>
          <w:rFonts w:hint="eastAsia" w:ascii="宋体" w:hAnsi="宋体" w:cs="宋体"/>
          <w:sz w:val="21"/>
          <w:szCs w:val="21"/>
        </w:rPr>
      </w:pPr>
      <w:r>
        <w:rPr>
          <w:rFonts w:hint="eastAsia" w:ascii="宋体" w:hAnsi="宋体" w:cs="宋体"/>
          <w:sz w:val="21"/>
          <w:szCs w:val="21"/>
        </w:rPr>
        <w:t>（1）具有良好的商业信誉的证明材料；</w:t>
      </w:r>
    </w:p>
    <w:p w14:paraId="19C18504">
      <w:pPr>
        <w:spacing w:line="360" w:lineRule="auto"/>
        <w:ind w:firstLine="420" w:firstLineChars="200"/>
        <w:rPr>
          <w:rFonts w:hint="eastAsia" w:ascii="宋体" w:hAnsi="宋体" w:cs="宋体"/>
          <w:sz w:val="21"/>
          <w:szCs w:val="21"/>
        </w:rPr>
      </w:pPr>
      <w:r>
        <w:rPr>
          <w:rFonts w:hint="eastAsia" w:ascii="宋体" w:hAnsi="宋体" w:cs="宋体"/>
          <w:sz w:val="21"/>
          <w:szCs w:val="21"/>
        </w:rPr>
        <w:t>（2）符合国家相关规定的财务状况报告；</w:t>
      </w:r>
    </w:p>
    <w:p w14:paraId="18C4734A">
      <w:pPr>
        <w:spacing w:line="360" w:lineRule="auto"/>
        <w:ind w:firstLine="420" w:firstLineChars="200"/>
        <w:rPr>
          <w:rFonts w:hint="eastAsia" w:ascii="宋体" w:hAnsi="宋体" w:cs="宋体"/>
          <w:sz w:val="21"/>
          <w:szCs w:val="21"/>
        </w:rPr>
      </w:pPr>
      <w:r>
        <w:rPr>
          <w:rFonts w:hint="eastAsia" w:ascii="宋体" w:hAnsi="宋体" w:cs="宋体"/>
          <w:sz w:val="21"/>
          <w:szCs w:val="21"/>
        </w:rPr>
        <w:t>（3）具备履行政府采购合同所必需的设备和专业技术能力的证明材料；</w:t>
      </w:r>
    </w:p>
    <w:p w14:paraId="798C54E5">
      <w:pPr>
        <w:spacing w:line="360" w:lineRule="auto"/>
        <w:ind w:firstLine="420" w:firstLineChars="200"/>
        <w:rPr>
          <w:rFonts w:hint="eastAsia" w:ascii="宋体" w:hAnsi="宋体" w:cs="宋体"/>
          <w:sz w:val="21"/>
          <w:szCs w:val="21"/>
        </w:rPr>
      </w:pPr>
      <w:r>
        <w:rPr>
          <w:rFonts w:hint="eastAsia" w:ascii="宋体" w:hAnsi="宋体" w:cs="宋体"/>
          <w:sz w:val="21"/>
          <w:szCs w:val="21"/>
        </w:rPr>
        <w:t>（4）依法缴纳税收和社会保障资金的证明材料；</w:t>
      </w:r>
    </w:p>
    <w:p w14:paraId="389DD2E6">
      <w:pPr>
        <w:spacing w:line="360" w:lineRule="auto"/>
        <w:ind w:firstLine="420" w:firstLineChars="200"/>
        <w:rPr>
          <w:rFonts w:hint="eastAsia" w:ascii="宋体" w:hAnsi="宋体" w:cs="宋体"/>
          <w:sz w:val="21"/>
          <w:szCs w:val="21"/>
        </w:rPr>
      </w:pPr>
      <w:r>
        <w:rPr>
          <w:rFonts w:hint="eastAsia" w:ascii="宋体" w:hAnsi="宋体" w:cs="宋体"/>
          <w:sz w:val="21"/>
          <w:szCs w:val="21"/>
        </w:rPr>
        <w:t>（5）参加政府采购活动前三年内在经营活动中没有重大违法记录的证明材料；</w:t>
      </w:r>
    </w:p>
    <w:p w14:paraId="23736AF6">
      <w:pPr>
        <w:spacing w:line="360" w:lineRule="auto"/>
        <w:ind w:firstLine="420" w:firstLineChars="200"/>
        <w:rPr>
          <w:rFonts w:hint="eastAsia" w:ascii="宋体" w:hAnsi="宋体" w:cs="宋体"/>
          <w:sz w:val="21"/>
          <w:szCs w:val="21"/>
        </w:rPr>
      </w:pPr>
      <w:r>
        <w:rPr>
          <w:rFonts w:hint="eastAsia" w:ascii="宋体" w:hAnsi="宋体" w:cs="宋体"/>
          <w:sz w:val="21"/>
          <w:szCs w:val="21"/>
        </w:rPr>
        <w:t>（6）未被列入失信被执行人、重大税收违法失信主体、政府采购严重违法失信行为记录名单的证明材料。</w:t>
      </w:r>
    </w:p>
    <w:p w14:paraId="116DBBA8">
      <w:pPr>
        <w:spacing w:line="360" w:lineRule="auto"/>
        <w:ind w:firstLine="420" w:firstLineChars="200"/>
        <w:rPr>
          <w:rFonts w:hint="eastAsia" w:ascii="宋体" w:hAnsi="宋体" w:cs="宋体"/>
          <w:sz w:val="21"/>
          <w:szCs w:val="21"/>
        </w:rPr>
      </w:pPr>
      <w:r>
        <w:rPr>
          <w:rFonts w:hint="eastAsia" w:ascii="宋体" w:hAnsi="宋体" w:cs="宋体"/>
          <w:sz w:val="21"/>
          <w:szCs w:val="21"/>
        </w:rPr>
        <w:t>注：</w:t>
      </w:r>
      <w:r>
        <w:rPr>
          <w:rFonts w:hint="eastAsia" w:ascii="宋体" w:hAnsi="宋体" w:cs="宋体"/>
          <w:sz w:val="21"/>
          <w:szCs w:val="21"/>
          <w:lang w:val="en-US" w:eastAsia="zh-CN"/>
        </w:rPr>
        <w:t>根据</w:t>
      </w:r>
      <w:r>
        <w:rPr>
          <w:rFonts w:hint="eastAsia" w:ascii="宋体" w:hAnsi="宋体" w:cs="宋体"/>
          <w:sz w:val="21"/>
          <w:szCs w:val="21"/>
        </w:rPr>
        <w:t>财库〔2016〕125号文，采购人、代理机构在开标时通过“信用中国”“中国执行信息公开网”及“中国政府采购网”查询供应商信用情况，如有不良情况，按无效标处理。</w:t>
      </w:r>
    </w:p>
    <w:p w14:paraId="5D5E9933">
      <w:pPr>
        <w:spacing w:line="360" w:lineRule="auto"/>
        <w:ind w:firstLine="420" w:firstLineChars="200"/>
        <w:rPr>
          <w:rFonts w:hint="eastAsia" w:ascii="宋体" w:hAnsi="宋体" w:cs="宋体"/>
          <w:sz w:val="21"/>
          <w:szCs w:val="21"/>
        </w:rPr>
      </w:pPr>
      <w:r>
        <w:rPr>
          <w:rFonts w:hint="eastAsia" w:ascii="宋体" w:hAnsi="宋体" w:cs="宋体"/>
          <w:sz w:val="21"/>
          <w:szCs w:val="21"/>
        </w:rPr>
        <w:t>3.</w:t>
      </w:r>
      <w:r>
        <w:rPr>
          <w:rFonts w:hint="eastAsia" w:ascii="宋体" w:hAnsi="宋体" w:cs="宋体"/>
          <w:sz w:val="21"/>
          <w:szCs w:val="21"/>
          <w:lang w:val="en-US" w:eastAsia="zh-CN"/>
        </w:rPr>
        <w:t>3</w:t>
      </w:r>
      <w:r>
        <w:rPr>
          <w:rFonts w:hint="eastAsia" w:ascii="宋体" w:hAnsi="宋体" w:cs="宋体"/>
          <w:sz w:val="21"/>
          <w:szCs w:val="21"/>
        </w:rPr>
        <w:t>供应商所提供资料必须真实有效并提供资料真实有效承诺书，并愿意承担因就提供虚假资料随时视为放弃中标资格并承担由此引起的一切不良和法律后果（提供承诺书，格式自拟）。</w:t>
      </w:r>
    </w:p>
    <w:p w14:paraId="441BA194">
      <w:pPr>
        <w:spacing w:line="360" w:lineRule="auto"/>
        <w:ind w:firstLine="420" w:firstLineChars="200"/>
        <w:rPr>
          <w:rFonts w:hint="eastAsia" w:ascii="宋体" w:hAnsi="宋体" w:cs="宋体"/>
          <w:sz w:val="21"/>
          <w:szCs w:val="21"/>
        </w:rPr>
      </w:pPr>
      <w:r>
        <w:rPr>
          <w:rFonts w:hint="eastAsia" w:ascii="宋体" w:hAnsi="宋体" w:cs="宋体"/>
          <w:sz w:val="21"/>
          <w:szCs w:val="21"/>
        </w:rPr>
        <w:t>3.</w:t>
      </w:r>
      <w:r>
        <w:rPr>
          <w:rFonts w:hint="eastAsia" w:ascii="宋体" w:hAnsi="宋体" w:cs="宋体"/>
          <w:sz w:val="21"/>
          <w:szCs w:val="21"/>
          <w:lang w:val="en-US" w:eastAsia="zh-CN"/>
        </w:rPr>
        <w:t>4</w:t>
      </w:r>
      <w:r>
        <w:rPr>
          <w:rFonts w:hint="eastAsia" w:ascii="宋体" w:hAnsi="宋体" w:cs="宋体"/>
          <w:sz w:val="21"/>
          <w:szCs w:val="21"/>
        </w:rPr>
        <w:t>本次采购采用资格后审，不接受联合体投标。</w:t>
      </w:r>
    </w:p>
    <w:p w14:paraId="782A9390">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三、获取招标文件</w:t>
      </w:r>
    </w:p>
    <w:p w14:paraId="095044D3">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1.时间：202</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12</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26</w:t>
      </w:r>
      <w:r>
        <w:rPr>
          <w:rFonts w:hint="eastAsia" w:asciiTheme="minorEastAsia" w:hAnsiTheme="minorEastAsia" w:eastAsiaTheme="minorEastAsia" w:cstheme="minorEastAsia"/>
          <w:sz w:val="21"/>
          <w:szCs w:val="21"/>
        </w:rPr>
        <w:t>日至 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19</w:t>
      </w:r>
      <w:r>
        <w:rPr>
          <w:rFonts w:hint="eastAsia" w:asciiTheme="minorEastAsia" w:hAnsiTheme="minorEastAsia" w:eastAsiaTheme="minorEastAsia" w:cstheme="minorEastAsia"/>
          <w:sz w:val="21"/>
          <w:szCs w:val="21"/>
        </w:rPr>
        <w:t>日，每天上午00:00至12:00，下午12:00至23:59（北京时间）</w:t>
      </w:r>
    </w:p>
    <w:p w14:paraId="4200107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2.地点：平顶山市公共资源交易中心网</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http://ggzy.pds.gov.cn/)；</w:t>
      </w:r>
    </w:p>
    <w:p w14:paraId="7EAF3E7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方式：潜在投标人需凭CA数字证书通过《全国公共资源交易平台（河南省·平顶山市）》（网址：http://ggzy.pds.gov.cn/）“交易主体登录”入口进入交易系统进行招标文件下载。具体操作请查看以下链接：链接地址：</w:t>
      </w:r>
      <w:r>
        <w:rPr>
          <w:rFonts w:hint="eastAsia" w:asciiTheme="minorEastAsia" w:hAnsiTheme="minorEastAsia" w:eastAsiaTheme="minorEastAsia" w:cstheme="minorEastAsia"/>
          <w:color w:val="auto"/>
          <w:sz w:val="21"/>
          <w:szCs w:val="21"/>
          <w:u w:val="none"/>
        </w:rPr>
        <w:t>http://ggzy.pds.gov.cn/fwzn/11020.jhtml</w:t>
      </w:r>
      <w:r>
        <w:rPr>
          <w:rFonts w:hint="eastAsia" w:asciiTheme="minorEastAsia" w:hAnsiTheme="minorEastAsia" w:eastAsiaTheme="minorEastAsia" w:cstheme="minorEastAsia"/>
          <w:sz w:val="21"/>
          <w:szCs w:val="21"/>
        </w:rPr>
        <w:t>，</w:t>
      </w:r>
    </w:p>
    <w:p w14:paraId="1A6440C6">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办理CA证书：</w:t>
      </w:r>
      <w:r>
        <w:rPr>
          <w:rFonts w:hint="eastAsia" w:asciiTheme="minorEastAsia" w:hAnsiTheme="minorEastAsia" w:eastAsiaTheme="minorEastAsia" w:cstheme="minorEastAsia"/>
          <w:color w:val="auto"/>
          <w:sz w:val="21"/>
          <w:szCs w:val="21"/>
          <w:u w:val="none"/>
        </w:rPr>
        <w:t>http://ggzy.pds.gov.cn/tzgg/10814.jhtml</w:t>
      </w:r>
      <w:r>
        <w:rPr>
          <w:rFonts w:hint="eastAsia" w:asciiTheme="minorEastAsia" w:hAnsiTheme="minorEastAsia" w:eastAsiaTheme="minorEastAsia" w:cstheme="minorEastAsia"/>
          <w:sz w:val="21"/>
          <w:szCs w:val="21"/>
        </w:rPr>
        <w:t>；</w:t>
      </w:r>
    </w:p>
    <w:p w14:paraId="6789401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4.售价：0元。</w:t>
      </w:r>
    </w:p>
    <w:p w14:paraId="5FCD435D">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四、投标截止时间及地点</w:t>
      </w:r>
    </w:p>
    <w:p w14:paraId="4C1C49F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1.时间：202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20</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00</w:t>
      </w:r>
      <w:r>
        <w:rPr>
          <w:rFonts w:hint="eastAsia" w:asciiTheme="minorEastAsia" w:hAnsiTheme="minorEastAsia" w:eastAsiaTheme="minorEastAsia" w:cstheme="minorEastAsia"/>
          <w:sz w:val="21"/>
          <w:szCs w:val="21"/>
        </w:rPr>
        <w:t>分（北京时间）</w:t>
      </w:r>
    </w:p>
    <w:p w14:paraId="543EA963">
      <w:pPr>
        <w:spacing w:line="360" w:lineRule="auto"/>
        <w:ind w:firstLine="420" w:firstLineChars="200"/>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rPr>
        <w:t>2.地点：</w:t>
      </w:r>
      <w:r>
        <w:rPr>
          <w:rFonts w:hint="eastAsia" w:asciiTheme="minorEastAsia" w:hAnsiTheme="minorEastAsia" w:eastAsiaTheme="minorEastAsia" w:cstheme="minorEastAsia"/>
          <w:sz w:val="21"/>
          <w:szCs w:val="21"/>
          <w:shd w:val="clear" w:color="auto" w:fill="FFFFFF"/>
        </w:rPr>
        <w:t>平顶山市公共资源交易中心电子交易系统</w:t>
      </w:r>
    </w:p>
    <w:p w14:paraId="30492377">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五、开标时间及地点</w:t>
      </w:r>
    </w:p>
    <w:p w14:paraId="1FB01C9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1.时间：202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20</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00</w:t>
      </w:r>
      <w:r>
        <w:rPr>
          <w:rFonts w:hint="eastAsia" w:asciiTheme="minorEastAsia" w:hAnsiTheme="minorEastAsia" w:eastAsiaTheme="minorEastAsia" w:cstheme="minorEastAsia"/>
          <w:sz w:val="21"/>
          <w:szCs w:val="21"/>
        </w:rPr>
        <w:t>分（北京时间）</w:t>
      </w:r>
    </w:p>
    <w:p w14:paraId="22EE472A">
      <w:pPr>
        <w:spacing w:line="360" w:lineRule="auto"/>
        <w:ind w:firstLine="420" w:firstLineChars="200"/>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rPr>
        <w:t>2.地点：</w:t>
      </w:r>
      <w:r>
        <w:rPr>
          <w:rFonts w:hint="eastAsia" w:asciiTheme="minorEastAsia" w:hAnsiTheme="minorEastAsia" w:eastAsiaTheme="minorEastAsia" w:cstheme="minorEastAsia"/>
          <w:sz w:val="21"/>
          <w:szCs w:val="21"/>
          <w:shd w:val="clear" w:color="auto" w:fill="FFFFFF"/>
        </w:rPr>
        <w:t>平顶山市公共资源交易中心电子交易系统</w:t>
      </w:r>
    </w:p>
    <w:p w14:paraId="1D80A6F7">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rPr>
        <w:t>六、发布公告的媒介及招标公告期限</w:t>
      </w:r>
    </w:p>
    <w:p w14:paraId="6394B05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次招标公告在《河南省政府采购网》《平顶山市政府采购网》《平顶山市卫东区政府采购网》《全国公共资源交易平台（河南省·平顶山市）》《河南省公共资源交易公共服务平台》上发布。招标公告期限为五个工作日。</w:t>
      </w:r>
    </w:p>
    <w:p w14:paraId="36B0C656">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七、其他补充事宜</w:t>
      </w:r>
    </w:p>
    <w:p w14:paraId="1EE15A2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平顶山市公共资源交易中心全面实行在线“不见面”开标，供应商远程在线解密响应文件，不再到开标现场，供应商开标前应仔细阅读《“不见面”开标注意事项及操作流程》。</w:t>
      </w:r>
    </w:p>
    <w:p w14:paraId="15E5459A">
      <w:pPr>
        <w:spacing w:line="360" w:lineRule="auto"/>
        <w:ind w:firstLine="420" w:firstLineChars="200"/>
        <w:rPr>
          <w:rFonts w:hint="default"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color w:val="auto"/>
          <w:sz w:val="21"/>
          <w:szCs w:val="21"/>
        </w:rPr>
        <w:t xml:space="preserve">该公告已同步至“平顶山市公共资源交易中心微信公众号” </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可通过公众号中的服务栏目进行查阅。</w:t>
      </w:r>
    </w:p>
    <w:p w14:paraId="56BE6F71">
      <w:pPr>
        <w:numPr>
          <w:ilvl w:val="0"/>
          <w:numId w:val="0"/>
        </w:num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kern w:val="2"/>
          <w:sz w:val="21"/>
          <w:szCs w:val="21"/>
          <w:lang w:val="en-US" w:eastAsia="zh-CN" w:bidi="ar-SA"/>
        </w:rPr>
        <w:t>3.</w:t>
      </w:r>
      <w:r>
        <w:rPr>
          <w:rFonts w:hint="eastAsia" w:asciiTheme="minorEastAsia" w:hAnsiTheme="minorEastAsia" w:eastAsiaTheme="minorEastAsia" w:cstheme="minorEastAsia"/>
          <w:color w:val="auto"/>
          <w:sz w:val="21"/>
          <w:szCs w:val="21"/>
        </w:rPr>
        <w:t>采购项目需要落实的政府采购政策：对小微企业的产品给予价格扣除，详见招标文件正文。（监狱企业、残疾人福利性单位视同小微企业；残疾人福利性单位属于小型、微型企业的，不重复享受政策）</w:t>
      </w:r>
    </w:p>
    <w:p w14:paraId="12086722">
      <w:pPr>
        <w:numPr>
          <w:ilvl w:val="0"/>
          <w:numId w:val="0"/>
        </w:num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4.</w:t>
      </w:r>
      <w:r>
        <w:rPr>
          <w:rFonts w:hint="eastAsia" w:asciiTheme="minorEastAsia" w:hAnsiTheme="minorEastAsia" w:eastAsiaTheme="minorEastAsia" w:cstheme="minorEastAsia"/>
          <w:sz w:val="21"/>
          <w:szCs w:val="21"/>
        </w:rPr>
        <w:t>投标人或其他利害关系人对本次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5EF8F0E8">
      <w:pPr>
        <w:spacing w:line="360" w:lineRule="auto"/>
        <w:ind w:left="418" w:leftChars="174"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监督部门：平顶山市卫东区财政局</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联系方式：0375-3653080</w:t>
      </w:r>
    </w:p>
    <w:p w14:paraId="5C0D9A9A">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八、凡对本次招标提出询问，请按照以下方式联系</w:t>
      </w:r>
    </w:p>
    <w:p w14:paraId="6BCF763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1.采购人信息</w:t>
      </w:r>
    </w:p>
    <w:p w14:paraId="2528273B">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名称：平顶山市卫东区教育体育局</w:t>
      </w:r>
    </w:p>
    <w:p w14:paraId="26B34BC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地址：平顶山市卫东区新华路中段</w:t>
      </w:r>
    </w:p>
    <w:p w14:paraId="4B3CD4F3">
      <w:pPr>
        <w:spacing w:line="360" w:lineRule="auto"/>
        <w:ind w:firstLine="420" w:firstLineChars="20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联系人：</w:t>
      </w:r>
      <w:r>
        <w:rPr>
          <w:rFonts w:hint="eastAsia" w:asciiTheme="minorEastAsia" w:hAnsiTheme="minorEastAsia" w:eastAsiaTheme="minorEastAsia" w:cstheme="minorEastAsia"/>
          <w:sz w:val="21"/>
          <w:szCs w:val="21"/>
          <w:lang w:val="en-US" w:eastAsia="zh-CN"/>
        </w:rPr>
        <w:t xml:space="preserve">郑先生 </w:t>
      </w:r>
    </w:p>
    <w:p w14:paraId="7B88A4F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联系方式：0375-3380839 </w:t>
      </w:r>
    </w:p>
    <w:p w14:paraId="5D86E0E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2.采购代理机构信息</w:t>
      </w:r>
    </w:p>
    <w:p w14:paraId="0399711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名称：河南易采工程管理有限公司</w:t>
      </w:r>
    </w:p>
    <w:p w14:paraId="724C96E4">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地址：河南省平顶山市未来路中段中梁壹号院</w:t>
      </w:r>
    </w:p>
    <w:p w14:paraId="4DFC3BA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联系人：吴女士</w:t>
      </w:r>
    </w:p>
    <w:p w14:paraId="16A84EBA">
      <w:pPr>
        <w:spacing w:line="360" w:lineRule="auto"/>
        <w:ind w:firstLine="420" w:firstLineChars="200"/>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联系方式：0375-2555998</w:t>
      </w:r>
      <w:r>
        <w:rPr>
          <w:rFonts w:hint="eastAsia" w:asciiTheme="minorEastAsia" w:hAnsiTheme="minorEastAsia" w:eastAsiaTheme="minorEastAsia" w:cstheme="minorEastAsia"/>
          <w:sz w:val="21"/>
          <w:szCs w:val="21"/>
          <w:lang w:val="en-US" w:eastAsia="zh-CN"/>
        </w:rPr>
        <w:t xml:space="preserve">  19939030802</w:t>
      </w:r>
    </w:p>
    <w:p w14:paraId="34768EB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3.项目联系方式</w:t>
      </w:r>
    </w:p>
    <w:p w14:paraId="2B8E14A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联系人：吴女士</w:t>
      </w:r>
    </w:p>
    <w:p w14:paraId="4134FAE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联系方式：0375-2555998</w:t>
      </w:r>
    </w:p>
    <w:p w14:paraId="085568C2">
      <w:pPr>
        <w:spacing w:line="360" w:lineRule="auto"/>
        <w:ind w:firstLine="420" w:firstLineChars="200"/>
        <w:rPr>
          <w:rFonts w:ascii="宋体" w:hAnsi="宋体" w:cs="宋体"/>
          <w:b/>
          <w:sz w:val="44"/>
          <w:szCs w:val="21"/>
        </w:rPr>
      </w:pPr>
      <w:r>
        <w:rPr>
          <w:rFonts w:hint="eastAsia" w:ascii="宋体" w:hAnsi="宋体" w:cs="宋体"/>
          <w:sz w:val="21"/>
          <w:szCs w:val="21"/>
          <w:lang w:val="zh-CN"/>
        </w:rPr>
        <w:t xml:space="preserve"> </w:t>
      </w:r>
      <w:r>
        <w:rPr>
          <w:rFonts w:ascii="宋体" w:hAnsi="宋体" w:cs="宋体"/>
          <w:b/>
          <w:sz w:val="44"/>
          <w:szCs w:val="21"/>
        </w:rPr>
        <w:br w:type="page"/>
      </w:r>
    </w:p>
    <w:bookmarkEnd w:id="37"/>
    <w:p w14:paraId="38C1C0DA">
      <w:pPr>
        <w:pStyle w:val="26"/>
        <w:spacing w:before="0" w:after="0" w:line="480" w:lineRule="exact"/>
        <w:rPr>
          <w:rFonts w:ascii="宋体" w:hAnsi="宋体" w:cs="宋体"/>
          <w:szCs w:val="36"/>
        </w:rPr>
      </w:pPr>
      <w:bookmarkStart w:id="38" w:name="_Toc22346"/>
      <w:bookmarkStart w:id="39" w:name="_Toc11363"/>
      <w:bookmarkStart w:id="40" w:name="_Toc25585"/>
      <w:bookmarkStart w:id="41" w:name="_Toc13073"/>
      <w:bookmarkStart w:id="42" w:name="_Toc19442"/>
      <w:bookmarkStart w:id="43" w:name="_Toc24779"/>
      <w:bookmarkStart w:id="44" w:name="_Toc29848"/>
      <w:bookmarkStart w:id="45" w:name="_Toc11910"/>
      <w:bookmarkStart w:id="46" w:name="_Toc31933_WPSOffice_Level1"/>
      <w:bookmarkStart w:id="47" w:name="_Toc26556"/>
      <w:bookmarkStart w:id="48" w:name="_Toc31265"/>
      <w:bookmarkStart w:id="49" w:name="_Toc25337"/>
      <w:bookmarkStart w:id="50" w:name="_Toc27545"/>
      <w:bookmarkStart w:id="51" w:name="_Toc26949"/>
      <w:bookmarkStart w:id="52" w:name="_Toc7336"/>
      <w:bookmarkStart w:id="53" w:name="_Toc17976"/>
      <w:bookmarkStart w:id="54" w:name="_Toc31021"/>
      <w:bookmarkStart w:id="55" w:name="_Toc1280"/>
      <w:bookmarkStart w:id="56" w:name="_Toc26957"/>
      <w:bookmarkStart w:id="57" w:name="_Toc20863"/>
      <w:bookmarkStart w:id="58" w:name="_Toc22242"/>
      <w:bookmarkStart w:id="59" w:name="_Toc11409"/>
      <w:bookmarkStart w:id="60" w:name="_Toc11318_WPSOffice_Level1"/>
      <w:bookmarkStart w:id="61" w:name="_Toc1581"/>
      <w:r>
        <w:rPr>
          <w:rFonts w:hint="eastAsia" w:ascii="宋体" w:hAnsi="宋体" w:cs="宋体"/>
          <w:szCs w:val="36"/>
          <w:lang w:val="zh-CN"/>
        </w:rPr>
        <w:t>第二部分  投标人须知</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33D41BF1">
      <w:pPr>
        <w:jc w:val="center"/>
        <w:rPr>
          <w:rFonts w:ascii="宋体" w:hAnsi="宋体" w:cs="宋体"/>
          <w:b/>
          <w:bCs/>
          <w:sz w:val="28"/>
          <w:szCs w:val="36"/>
        </w:rPr>
      </w:pPr>
      <w:bookmarkStart w:id="62" w:name="_Toc19555"/>
    </w:p>
    <w:p w14:paraId="57AB22FD">
      <w:pPr>
        <w:jc w:val="center"/>
        <w:outlineLvl w:val="1"/>
        <w:rPr>
          <w:rFonts w:ascii="宋体" w:hAnsi="宋体" w:cs="宋体"/>
          <w:b/>
          <w:bCs/>
          <w:sz w:val="28"/>
          <w:szCs w:val="36"/>
        </w:rPr>
      </w:pPr>
      <w:bookmarkStart w:id="63" w:name="_Toc13134"/>
      <w:bookmarkStart w:id="64" w:name="_Toc24455_WPSOffice_Level2"/>
      <w:bookmarkStart w:id="65" w:name="_Toc28639_WPSOffice_Level2"/>
      <w:bookmarkStart w:id="66" w:name="_Toc5562"/>
      <w:bookmarkStart w:id="67" w:name="_Toc23409"/>
      <w:bookmarkStart w:id="68" w:name="_Toc4998"/>
      <w:bookmarkStart w:id="69" w:name="_Toc9906"/>
      <w:bookmarkStart w:id="70" w:name="_Toc1912"/>
      <w:bookmarkStart w:id="71" w:name="_Toc26770"/>
      <w:bookmarkStart w:id="72" w:name="_Toc8812"/>
      <w:bookmarkStart w:id="73" w:name="_Toc5254"/>
      <w:bookmarkStart w:id="74" w:name="_Toc23347"/>
      <w:bookmarkStart w:id="75" w:name="_Toc43"/>
      <w:bookmarkStart w:id="76" w:name="_Toc17640"/>
      <w:bookmarkStart w:id="77" w:name="_Toc16253"/>
      <w:bookmarkStart w:id="78" w:name="_Toc11465"/>
      <w:bookmarkStart w:id="79" w:name="_Toc27869"/>
      <w:bookmarkStart w:id="80" w:name="_Toc22126"/>
      <w:bookmarkStart w:id="81" w:name="_Toc14277"/>
      <w:bookmarkStart w:id="82" w:name="_Toc31103"/>
      <w:r>
        <w:rPr>
          <w:rFonts w:hint="eastAsia" w:ascii="宋体" w:hAnsi="宋体" w:cs="宋体"/>
          <w:b/>
          <w:bCs/>
          <w:sz w:val="28"/>
          <w:szCs w:val="36"/>
        </w:rPr>
        <w:t>投标人须知前附表</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tbl>
      <w:tblPr>
        <w:tblStyle w:val="29"/>
        <w:tblW w:w="9799" w:type="dxa"/>
        <w:jc w:val="center"/>
        <w:tblLayout w:type="fixed"/>
        <w:tblCellMar>
          <w:top w:w="0" w:type="dxa"/>
          <w:left w:w="0" w:type="dxa"/>
          <w:bottom w:w="0" w:type="dxa"/>
          <w:right w:w="0" w:type="dxa"/>
        </w:tblCellMar>
      </w:tblPr>
      <w:tblGrid>
        <w:gridCol w:w="1241"/>
        <w:gridCol w:w="1933"/>
        <w:gridCol w:w="6625"/>
      </w:tblGrid>
      <w:tr w14:paraId="54F7E917">
        <w:tblPrEx>
          <w:tblCellMar>
            <w:top w:w="0" w:type="dxa"/>
            <w:left w:w="0" w:type="dxa"/>
            <w:bottom w:w="0" w:type="dxa"/>
            <w:right w:w="0" w:type="dxa"/>
          </w:tblCellMar>
        </w:tblPrEx>
        <w:trPr>
          <w:trHeight w:val="567" w:hRule="atLeast"/>
          <w:jc w:val="center"/>
        </w:trPr>
        <w:tc>
          <w:tcPr>
            <w:tcW w:w="1241" w:type="dxa"/>
            <w:tcBorders>
              <w:top w:val="single" w:color="auto" w:sz="18" w:space="0"/>
              <w:left w:val="single" w:color="auto" w:sz="18" w:space="0"/>
              <w:bottom w:val="single" w:color="auto" w:sz="8" w:space="0"/>
              <w:right w:val="single" w:color="auto" w:sz="8" w:space="0"/>
            </w:tcBorders>
            <w:vAlign w:val="center"/>
          </w:tcPr>
          <w:p w14:paraId="104FBE2B">
            <w:pPr>
              <w:pStyle w:val="54"/>
              <w:spacing w:line="360" w:lineRule="auto"/>
              <w:ind w:left="0" w:right="0" w:firstLine="0"/>
              <w:jc w:val="center"/>
              <w:rPr>
                <w:rFonts w:hint="eastAsia" w:asciiTheme="minorEastAsia" w:hAnsiTheme="minorEastAsia" w:eastAsiaTheme="minorEastAsia" w:cstheme="minorEastAsia"/>
                <w:sz w:val="21"/>
                <w:szCs w:val="21"/>
              </w:rPr>
            </w:pPr>
            <w:bookmarkStart w:id="83" w:name="_Toc32223"/>
            <w:bookmarkStart w:id="84" w:name="_Toc8806"/>
            <w:bookmarkStart w:id="85" w:name="_Toc23685_WPSOffice_Level2"/>
            <w:bookmarkStart w:id="86" w:name="_Toc3556"/>
            <w:bookmarkStart w:id="87" w:name="_Toc19312"/>
            <w:bookmarkStart w:id="88" w:name="_Toc32486"/>
            <w:bookmarkStart w:id="89" w:name="_Toc30125"/>
            <w:bookmarkStart w:id="90" w:name="_Toc21737"/>
            <w:bookmarkStart w:id="91" w:name="_Toc24868"/>
            <w:bookmarkStart w:id="92" w:name="_Toc25798"/>
            <w:bookmarkStart w:id="93" w:name="_Toc3783"/>
            <w:bookmarkStart w:id="94" w:name="_Toc10967"/>
            <w:bookmarkStart w:id="95" w:name="_Toc3859"/>
            <w:bookmarkStart w:id="96" w:name="_Toc11683"/>
            <w:bookmarkStart w:id="97" w:name="_Toc10264"/>
            <w:bookmarkStart w:id="98" w:name="_Toc28543_WPSOffice_Level2"/>
            <w:bookmarkStart w:id="99" w:name="_Toc26924"/>
            <w:bookmarkStart w:id="100" w:name="_Toc23755"/>
            <w:bookmarkStart w:id="101" w:name="_Toc28335"/>
            <w:bookmarkStart w:id="102" w:name="_Toc16589"/>
            <w:bookmarkStart w:id="103" w:name="_Toc29797"/>
            <w:r>
              <w:rPr>
                <w:rFonts w:hint="eastAsia" w:asciiTheme="minorEastAsia" w:hAnsiTheme="minorEastAsia" w:eastAsiaTheme="minorEastAsia" w:cstheme="minorEastAsia"/>
                <w:sz w:val="21"/>
                <w:szCs w:val="21"/>
              </w:rPr>
              <w:t>序号</w:t>
            </w:r>
          </w:p>
        </w:tc>
        <w:tc>
          <w:tcPr>
            <w:tcW w:w="1933" w:type="dxa"/>
            <w:tcBorders>
              <w:top w:val="single" w:color="auto" w:sz="18" w:space="0"/>
              <w:left w:val="single" w:color="auto" w:sz="8" w:space="0"/>
              <w:bottom w:val="single" w:color="auto" w:sz="8" w:space="0"/>
              <w:right w:val="single" w:color="auto" w:sz="8" w:space="0"/>
            </w:tcBorders>
            <w:vAlign w:val="center"/>
          </w:tcPr>
          <w:p w14:paraId="39E64831">
            <w:pPr>
              <w:pStyle w:val="54"/>
              <w:spacing w:line="360" w:lineRule="auto"/>
              <w:ind w:lef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条款名称</w:t>
            </w:r>
          </w:p>
        </w:tc>
        <w:tc>
          <w:tcPr>
            <w:tcW w:w="6625" w:type="dxa"/>
            <w:tcBorders>
              <w:top w:val="single" w:color="auto" w:sz="18" w:space="0"/>
              <w:left w:val="single" w:color="auto" w:sz="8" w:space="0"/>
              <w:bottom w:val="single" w:color="auto" w:sz="8" w:space="0"/>
              <w:right w:val="single" w:color="auto" w:sz="18" w:space="0"/>
            </w:tcBorders>
            <w:vAlign w:val="center"/>
          </w:tcPr>
          <w:p w14:paraId="2F7B7256">
            <w:pPr>
              <w:pStyle w:val="54"/>
              <w:spacing w:line="360" w:lineRule="auto"/>
              <w:ind w:lef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说明和要求</w:t>
            </w:r>
          </w:p>
        </w:tc>
      </w:tr>
      <w:tr w14:paraId="79911236">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63D9BD7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933" w:type="dxa"/>
            <w:tcBorders>
              <w:top w:val="single" w:color="auto" w:sz="8" w:space="0"/>
              <w:left w:val="single" w:color="auto" w:sz="8" w:space="0"/>
              <w:bottom w:val="single" w:color="auto" w:sz="8" w:space="0"/>
              <w:right w:val="single" w:color="auto" w:sz="8" w:space="0"/>
            </w:tcBorders>
            <w:vAlign w:val="center"/>
          </w:tcPr>
          <w:p w14:paraId="5E9759B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采购人</w:t>
            </w:r>
          </w:p>
        </w:tc>
        <w:tc>
          <w:tcPr>
            <w:tcW w:w="6625" w:type="dxa"/>
            <w:tcBorders>
              <w:top w:val="single" w:color="auto" w:sz="8" w:space="0"/>
              <w:left w:val="single" w:color="auto" w:sz="8" w:space="0"/>
              <w:bottom w:val="single" w:color="auto" w:sz="8" w:space="0"/>
              <w:right w:val="single" w:color="auto" w:sz="18" w:space="0"/>
            </w:tcBorders>
            <w:vAlign w:val="center"/>
          </w:tcPr>
          <w:p w14:paraId="59237161">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名称：平顶山市卫东区教育体育局</w:t>
            </w:r>
          </w:p>
          <w:p w14:paraId="36FE5E1C">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地址：平顶山市卫东区新华路中段</w:t>
            </w:r>
          </w:p>
          <w:p w14:paraId="4DEC7F8D">
            <w:pPr>
              <w:spacing w:line="360" w:lineRule="auto"/>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联系人：</w:t>
            </w:r>
            <w:r>
              <w:rPr>
                <w:rFonts w:hint="eastAsia" w:asciiTheme="minorEastAsia" w:hAnsiTheme="minorEastAsia" w:eastAsiaTheme="minorEastAsia" w:cstheme="minorEastAsia"/>
                <w:sz w:val="21"/>
                <w:szCs w:val="21"/>
                <w:lang w:val="en-US" w:eastAsia="zh-CN"/>
              </w:rPr>
              <w:t xml:space="preserve">郑先生 </w:t>
            </w:r>
          </w:p>
          <w:p w14:paraId="19A8597B">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联系方式：0375-3380839 </w:t>
            </w:r>
          </w:p>
        </w:tc>
      </w:tr>
      <w:tr w14:paraId="08A9F753">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594F7EC7">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1933" w:type="dxa"/>
            <w:tcBorders>
              <w:top w:val="single" w:color="auto" w:sz="8" w:space="0"/>
              <w:left w:val="single" w:color="auto" w:sz="8" w:space="0"/>
              <w:bottom w:val="single" w:color="auto" w:sz="8" w:space="0"/>
              <w:right w:val="single" w:color="auto" w:sz="8" w:space="0"/>
            </w:tcBorders>
            <w:vAlign w:val="center"/>
          </w:tcPr>
          <w:p w14:paraId="1E3EBD9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采购代理机构</w:t>
            </w:r>
          </w:p>
        </w:tc>
        <w:tc>
          <w:tcPr>
            <w:tcW w:w="6625" w:type="dxa"/>
            <w:tcBorders>
              <w:top w:val="single" w:color="auto" w:sz="8" w:space="0"/>
              <w:left w:val="single" w:color="auto" w:sz="8" w:space="0"/>
              <w:bottom w:val="single" w:color="auto" w:sz="8" w:space="0"/>
              <w:right w:val="single" w:color="auto" w:sz="18" w:space="0"/>
            </w:tcBorders>
            <w:vAlign w:val="center"/>
          </w:tcPr>
          <w:p w14:paraId="77107A75">
            <w:pPr>
              <w:pStyle w:val="52"/>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名称：河南易采工程管理有限公司</w:t>
            </w:r>
          </w:p>
          <w:p w14:paraId="5653E6FD">
            <w:pPr>
              <w:pStyle w:val="52"/>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地址：河南省平顶山市未来路中段中梁鹰城壹号院</w:t>
            </w:r>
          </w:p>
          <w:p w14:paraId="42BCCFFE">
            <w:pPr>
              <w:pStyle w:val="52"/>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联系人：吴女士</w:t>
            </w:r>
          </w:p>
          <w:p w14:paraId="581A391B">
            <w:pPr>
              <w:pStyle w:val="52"/>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联系方式：0375-2555998    19939030802</w:t>
            </w:r>
          </w:p>
        </w:tc>
      </w:tr>
      <w:tr w14:paraId="3FC99915">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76B3BA2A">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w:t>
            </w:r>
          </w:p>
        </w:tc>
        <w:tc>
          <w:tcPr>
            <w:tcW w:w="1933" w:type="dxa"/>
            <w:tcBorders>
              <w:top w:val="single" w:color="auto" w:sz="8" w:space="0"/>
              <w:left w:val="single" w:color="auto" w:sz="8" w:space="0"/>
              <w:bottom w:val="single" w:color="auto" w:sz="8" w:space="0"/>
              <w:right w:val="single" w:color="auto" w:sz="8" w:space="0"/>
            </w:tcBorders>
            <w:vAlign w:val="center"/>
          </w:tcPr>
          <w:p w14:paraId="15F27AE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项目名称</w:t>
            </w:r>
          </w:p>
        </w:tc>
        <w:tc>
          <w:tcPr>
            <w:tcW w:w="6625" w:type="dxa"/>
            <w:tcBorders>
              <w:top w:val="single" w:color="auto" w:sz="8" w:space="0"/>
              <w:left w:val="single" w:color="auto" w:sz="8" w:space="0"/>
              <w:bottom w:val="single" w:color="auto" w:sz="8" w:space="0"/>
              <w:right w:val="single" w:color="auto" w:sz="18" w:space="0"/>
            </w:tcBorders>
            <w:vAlign w:val="center"/>
          </w:tcPr>
          <w:p w14:paraId="2BD31664">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平顶山市卫东区教育体育局教学一体机设备采购项目</w:t>
            </w:r>
          </w:p>
        </w:tc>
      </w:tr>
      <w:tr w14:paraId="45C5F716">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5D9CC89A">
            <w:pPr>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4</w:t>
            </w:r>
          </w:p>
        </w:tc>
        <w:tc>
          <w:tcPr>
            <w:tcW w:w="1933" w:type="dxa"/>
            <w:tcBorders>
              <w:top w:val="single" w:color="auto" w:sz="8" w:space="0"/>
              <w:left w:val="single" w:color="auto" w:sz="8" w:space="0"/>
              <w:bottom w:val="single" w:color="auto" w:sz="8" w:space="0"/>
              <w:right w:val="single" w:color="auto" w:sz="8" w:space="0"/>
            </w:tcBorders>
            <w:vAlign w:val="center"/>
          </w:tcPr>
          <w:p w14:paraId="09B9B098">
            <w:pPr>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采购编号</w:t>
            </w:r>
          </w:p>
        </w:tc>
        <w:tc>
          <w:tcPr>
            <w:tcW w:w="6625" w:type="dxa"/>
            <w:tcBorders>
              <w:top w:val="single" w:color="auto" w:sz="8" w:space="0"/>
              <w:left w:val="single" w:color="auto" w:sz="8" w:space="0"/>
              <w:bottom w:val="single" w:color="auto" w:sz="8" w:space="0"/>
              <w:right w:val="single" w:color="auto" w:sz="18" w:space="0"/>
            </w:tcBorders>
            <w:vAlign w:val="center"/>
          </w:tcPr>
          <w:p w14:paraId="51F981DE">
            <w:pPr>
              <w:spacing w:line="360" w:lineRule="auto"/>
              <w:jc w:val="center"/>
              <w:rPr>
                <w:rFonts w:hint="eastAsia"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14:textFill>
                  <w14:solidFill>
                    <w14:schemeClr w14:val="tx1"/>
                  </w14:solidFill>
                </w14:textFill>
              </w:rPr>
              <w:t>平卫采招标-2025-13</w:t>
            </w:r>
          </w:p>
        </w:tc>
      </w:tr>
      <w:tr w14:paraId="3C4352B3">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1C3E47B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1933" w:type="dxa"/>
            <w:tcBorders>
              <w:top w:val="single" w:color="auto" w:sz="8" w:space="0"/>
              <w:left w:val="single" w:color="auto" w:sz="8" w:space="0"/>
              <w:bottom w:val="single" w:color="auto" w:sz="8" w:space="0"/>
              <w:right w:val="single" w:color="auto" w:sz="8" w:space="0"/>
            </w:tcBorders>
            <w:vAlign w:val="center"/>
          </w:tcPr>
          <w:p w14:paraId="4BA78F98">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资金来源</w:t>
            </w:r>
          </w:p>
        </w:tc>
        <w:tc>
          <w:tcPr>
            <w:tcW w:w="6625" w:type="dxa"/>
            <w:tcBorders>
              <w:top w:val="single" w:color="auto" w:sz="8" w:space="0"/>
              <w:left w:val="single" w:color="auto" w:sz="8" w:space="0"/>
              <w:bottom w:val="single" w:color="auto" w:sz="8" w:space="0"/>
              <w:right w:val="single" w:color="auto" w:sz="18" w:space="0"/>
            </w:tcBorders>
            <w:vAlign w:val="center"/>
          </w:tcPr>
          <w:p w14:paraId="60BB649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财政资金，已落实</w:t>
            </w:r>
          </w:p>
        </w:tc>
      </w:tr>
      <w:tr w14:paraId="5E83EE7E">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2509EB6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1933" w:type="dxa"/>
            <w:tcBorders>
              <w:top w:val="single" w:color="auto" w:sz="8" w:space="0"/>
              <w:left w:val="single" w:color="auto" w:sz="8" w:space="0"/>
              <w:bottom w:val="single" w:color="auto" w:sz="8" w:space="0"/>
              <w:right w:val="single" w:color="auto" w:sz="8" w:space="0"/>
            </w:tcBorders>
            <w:vAlign w:val="center"/>
          </w:tcPr>
          <w:p w14:paraId="2783EB16">
            <w:pPr>
              <w:spacing w:line="360" w:lineRule="auto"/>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最高限价</w:t>
            </w:r>
          </w:p>
        </w:tc>
        <w:tc>
          <w:tcPr>
            <w:tcW w:w="6625" w:type="dxa"/>
            <w:tcBorders>
              <w:top w:val="single" w:color="auto" w:sz="8" w:space="0"/>
              <w:left w:val="single" w:color="auto" w:sz="8" w:space="0"/>
              <w:bottom w:val="single" w:color="auto" w:sz="8" w:space="0"/>
              <w:right w:val="single" w:color="auto" w:sz="18" w:space="0"/>
            </w:tcBorders>
            <w:vAlign w:val="center"/>
          </w:tcPr>
          <w:p w14:paraId="241617B5">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880000.00</w:t>
            </w:r>
            <w:r>
              <w:rPr>
                <w:rFonts w:hint="eastAsia" w:asciiTheme="minorEastAsia" w:hAnsiTheme="minorEastAsia" w:eastAsiaTheme="minorEastAsia" w:cstheme="minorEastAsia"/>
                <w:sz w:val="21"/>
                <w:szCs w:val="21"/>
              </w:rPr>
              <w:t>元，超过该</w:t>
            </w:r>
            <w:r>
              <w:rPr>
                <w:rFonts w:hint="eastAsia" w:asciiTheme="minorEastAsia" w:hAnsiTheme="minorEastAsia" w:eastAsiaTheme="minorEastAsia" w:cstheme="minorEastAsia"/>
                <w:sz w:val="21"/>
                <w:szCs w:val="21"/>
                <w:lang w:val="en-US" w:eastAsia="zh-CN"/>
              </w:rPr>
              <w:t>最高限价</w:t>
            </w:r>
            <w:r>
              <w:rPr>
                <w:rFonts w:hint="eastAsia" w:asciiTheme="minorEastAsia" w:hAnsiTheme="minorEastAsia" w:eastAsiaTheme="minorEastAsia" w:cstheme="minorEastAsia"/>
                <w:sz w:val="21"/>
                <w:szCs w:val="21"/>
              </w:rPr>
              <w:t>的投标视为无效标。</w:t>
            </w:r>
          </w:p>
        </w:tc>
      </w:tr>
      <w:tr w14:paraId="3649A073">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0FE8F69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1933" w:type="dxa"/>
            <w:tcBorders>
              <w:top w:val="single" w:color="auto" w:sz="8" w:space="0"/>
              <w:left w:val="single" w:color="auto" w:sz="8" w:space="0"/>
              <w:bottom w:val="single" w:color="auto" w:sz="8" w:space="0"/>
              <w:right w:val="single" w:color="auto" w:sz="8" w:space="0"/>
            </w:tcBorders>
            <w:vAlign w:val="center"/>
          </w:tcPr>
          <w:p w14:paraId="6D17A4D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采购方式</w:t>
            </w:r>
          </w:p>
        </w:tc>
        <w:tc>
          <w:tcPr>
            <w:tcW w:w="6625" w:type="dxa"/>
            <w:tcBorders>
              <w:top w:val="single" w:color="auto" w:sz="8" w:space="0"/>
              <w:left w:val="single" w:color="auto" w:sz="8" w:space="0"/>
              <w:bottom w:val="single" w:color="auto" w:sz="8" w:space="0"/>
              <w:right w:val="single" w:color="auto" w:sz="18" w:space="0"/>
            </w:tcBorders>
            <w:vAlign w:val="center"/>
          </w:tcPr>
          <w:p w14:paraId="3520D42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公开招标</w:t>
            </w:r>
          </w:p>
        </w:tc>
      </w:tr>
      <w:tr w14:paraId="752371D5">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7AEA826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1933" w:type="dxa"/>
            <w:tcBorders>
              <w:top w:val="single" w:color="auto" w:sz="8" w:space="0"/>
              <w:left w:val="single" w:color="auto" w:sz="8" w:space="0"/>
              <w:bottom w:val="single" w:color="auto" w:sz="8" w:space="0"/>
              <w:right w:val="single" w:color="auto" w:sz="8" w:space="0"/>
            </w:tcBorders>
            <w:vAlign w:val="center"/>
          </w:tcPr>
          <w:p w14:paraId="0244ADE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评标方法</w:t>
            </w:r>
          </w:p>
        </w:tc>
        <w:tc>
          <w:tcPr>
            <w:tcW w:w="6625" w:type="dxa"/>
            <w:tcBorders>
              <w:top w:val="single" w:color="auto" w:sz="8" w:space="0"/>
              <w:left w:val="single" w:color="auto" w:sz="8" w:space="0"/>
              <w:bottom w:val="single" w:color="auto" w:sz="8" w:space="0"/>
              <w:right w:val="single" w:color="auto" w:sz="18" w:space="0"/>
            </w:tcBorders>
            <w:vAlign w:val="center"/>
          </w:tcPr>
          <w:p w14:paraId="298C74A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综合评分法</w:t>
            </w:r>
          </w:p>
        </w:tc>
      </w:tr>
      <w:tr w14:paraId="7983A653">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3EB710B8">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1933" w:type="dxa"/>
            <w:tcBorders>
              <w:top w:val="single" w:color="auto" w:sz="8" w:space="0"/>
              <w:left w:val="single" w:color="auto" w:sz="8" w:space="0"/>
              <w:bottom w:val="single" w:color="auto" w:sz="8" w:space="0"/>
              <w:right w:val="single" w:color="auto" w:sz="8" w:space="0"/>
            </w:tcBorders>
            <w:vAlign w:val="center"/>
          </w:tcPr>
          <w:p w14:paraId="6F469F5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供货及安装期</w:t>
            </w:r>
          </w:p>
        </w:tc>
        <w:tc>
          <w:tcPr>
            <w:tcW w:w="6625" w:type="dxa"/>
            <w:tcBorders>
              <w:top w:val="single" w:color="auto" w:sz="8" w:space="0"/>
              <w:left w:val="single" w:color="auto" w:sz="8" w:space="0"/>
              <w:bottom w:val="single" w:color="auto" w:sz="8" w:space="0"/>
              <w:right w:val="single" w:color="auto" w:sz="18" w:space="0"/>
            </w:tcBorders>
            <w:vAlign w:val="center"/>
          </w:tcPr>
          <w:p w14:paraId="449A6F4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合同签订后20日历天内供货安装完毕</w:t>
            </w:r>
          </w:p>
        </w:tc>
      </w:tr>
      <w:tr w14:paraId="765821BB">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58C7D55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w:t>
            </w:r>
          </w:p>
        </w:tc>
        <w:tc>
          <w:tcPr>
            <w:tcW w:w="1933" w:type="dxa"/>
            <w:tcBorders>
              <w:top w:val="single" w:color="auto" w:sz="8" w:space="0"/>
              <w:left w:val="single" w:color="auto" w:sz="8" w:space="0"/>
              <w:bottom w:val="single" w:color="auto" w:sz="8" w:space="0"/>
              <w:right w:val="single" w:color="auto" w:sz="8" w:space="0"/>
            </w:tcBorders>
            <w:vAlign w:val="center"/>
          </w:tcPr>
          <w:p w14:paraId="2281A49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质量要求</w:t>
            </w:r>
          </w:p>
        </w:tc>
        <w:tc>
          <w:tcPr>
            <w:tcW w:w="6625" w:type="dxa"/>
            <w:tcBorders>
              <w:top w:val="single" w:color="auto" w:sz="8" w:space="0"/>
              <w:left w:val="single" w:color="auto" w:sz="8" w:space="0"/>
              <w:bottom w:val="single" w:color="auto" w:sz="8" w:space="0"/>
              <w:right w:val="single" w:color="auto" w:sz="18" w:space="0"/>
            </w:tcBorders>
            <w:vAlign w:val="center"/>
          </w:tcPr>
          <w:p w14:paraId="1F45B68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符合国家或行业相关标准，质量合格</w:t>
            </w:r>
          </w:p>
        </w:tc>
      </w:tr>
      <w:tr w14:paraId="7D2F5780">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264EF385">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w:t>
            </w:r>
          </w:p>
        </w:tc>
        <w:tc>
          <w:tcPr>
            <w:tcW w:w="1933" w:type="dxa"/>
            <w:tcBorders>
              <w:top w:val="single" w:color="auto" w:sz="8" w:space="0"/>
              <w:left w:val="single" w:color="auto" w:sz="8" w:space="0"/>
              <w:bottom w:val="single" w:color="auto" w:sz="8" w:space="0"/>
              <w:right w:val="single" w:color="auto" w:sz="8" w:space="0"/>
            </w:tcBorders>
            <w:vAlign w:val="center"/>
          </w:tcPr>
          <w:p w14:paraId="2A4B4C85">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质保期</w:t>
            </w:r>
          </w:p>
        </w:tc>
        <w:tc>
          <w:tcPr>
            <w:tcW w:w="6625" w:type="dxa"/>
            <w:tcBorders>
              <w:top w:val="single" w:color="auto" w:sz="8" w:space="0"/>
              <w:left w:val="single" w:color="auto" w:sz="8" w:space="0"/>
              <w:bottom w:val="single" w:color="auto" w:sz="8" w:space="0"/>
              <w:right w:val="single" w:color="auto" w:sz="18" w:space="0"/>
            </w:tcBorders>
            <w:vAlign w:val="center"/>
          </w:tcPr>
          <w:p w14:paraId="09EB8717">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1年（设备有固定质保期的质保期不应低于设备固定质保期）</w:t>
            </w:r>
          </w:p>
        </w:tc>
      </w:tr>
      <w:tr w14:paraId="40CF113D">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70789B7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w:t>
            </w:r>
          </w:p>
        </w:tc>
        <w:tc>
          <w:tcPr>
            <w:tcW w:w="1933" w:type="dxa"/>
            <w:tcBorders>
              <w:top w:val="single" w:color="auto" w:sz="8" w:space="0"/>
              <w:left w:val="single" w:color="auto" w:sz="8" w:space="0"/>
              <w:bottom w:val="single" w:color="auto" w:sz="8" w:space="0"/>
              <w:right w:val="single" w:color="auto" w:sz="8" w:space="0"/>
            </w:tcBorders>
            <w:vAlign w:val="center"/>
          </w:tcPr>
          <w:p w14:paraId="3E03C602">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供应商资格要求</w:t>
            </w:r>
          </w:p>
        </w:tc>
        <w:tc>
          <w:tcPr>
            <w:tcW w:w="6625" w:type="dxa"/>
            <w:tcBorders>
              <w:top w:val="single" w:color="auto" w:sz="8" w:space="0"/>
              <w:left w:val="single" w:color="auto" w:sz="8" w:space="0"/>
              <w:bottom w:val="single" w:color="auto" w:sz="8" w:space="0"/>
              <w:right w:val="single" w:color="auto" w:sz="18" w:space="0"/>
            </w:tcBorders>
            <w:vAlign w:val="center"/>
          </w:tcPr>
          <w:p w14:paraId="3746BB72">
            <w:pPr>
              <w:spacing w:line="36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同招标公告“二、申请人资格要求”</w:t>
            </w:r>
          </w:p>
        </w:tc>
      </w:tr>
      <w:tr w14:paraId="7A5AC2E6">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2018DE8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13</w:t>
            </w:r>
          </w:p>
        </w:tc>
        <w:tc>
          <w:tcPr>
            <w:tcW w:w="1933" w:type="dxa"/>
            <w:tcBorders>
              <w:top w:val="single" w:color="auto" w:sz="8" w:space="0"/>
              <w:left w:val="single" w:color="auto" w:sz="8" w:space="0"/>
              <w:bottom w:val="single" w:color="auto" w:sz="8" w:space="0"/>
              <w:right w:val="single" w:color="auto" w:sz="8" w:space="0"/>
            </w:tcBorders>
            <w:vAlign w:val="center"/>
          </w:tcPr>
          <w:p w14:paraId="15598D8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联合体投标</w:t>
            </w:r>
          </w:p>
        </w:tc>
        <w:tc>
          <w:tcPr>
            <w:tcW w:w="6625" w:type="dxa"/>
            <w:tcBorders>
              <w:top w:val="single" w:color="auto" w:sz="8" w:space="0"/>
              <w:left w:val="single" w:color="auto" w:sz="8" w:space="0"/>
              <w:bottom w:val="single" w:color="auto" w:sz="8" w:space="0"/>
              <w:right w:val="single" w:color="auto" w:sz="18" w:space="0"/>
            </w:tcBorders>
            <w:vAlign w:val="center"/>
          </w:tcPr>
          <w:p w14:paraId="493070A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本项目不接受联合体投标</w:t>
            </w:r>
          </w:p>
        </w:tc>
      </w:tr>
      <w:tr w14:paraId="2C6EC366">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529BE09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14</w:t>
            </w:r>
          </w:p>
        </w:tc>
        <w:tc>
          <w:tcPr>
            <w:tcW w:w="1933" w:type="dxa"/>
            <w:tcBorders>
              <w:top w:val="single" w:color="auto" w:sz="8" w:space="0"/>
              <w:left w:val="single" w:color="auto" w:sz="8" w:space="0"/>
              <w:bottom w:val="single" w:color="auto" w:sz="8" w:space="0"/>
              <w:right w:val="single" w:color="auto" w:sz="8" w:space="0"/>
            </w:tcBorders>
            <w:vAlign w:val="center"/>
          </w:tcPr>
          <w:p w14:paraId="3655EAB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现场勘察、标前答疑会</w:t>
            </w:r>
          </w:p>
        </w:tc>
        <w:tc>
          <w:tcPr>
            <w:tcW w:w="6625" w:type="dxa"/>
            <w:tcBorders>
              <w:top w:val="single" w:color="auto" w:sz="8" w:space="0"/>
              <w:left w:val="single" w:color="auto" w:sz="8" w:space="0"/>
              <w:bottom w:val="single" w:color="auto" w:sz="8" w:space="0"/>
              <w:right w:val="single" w:color="auto" w:sz="18" w:space="0"/>
            </w:tcBorders>
            <w:vAlign w:val="center"/>
          </w:tcPr>
          <w:p w14:paraId="2374A88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如采购单位认为有必要，另行书面通知。</w:t>
            </w:r>
          </w:p>
        </w:tc>
      </w:tr>
      <w:tr w14:paraId="2000BA12">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18D1075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w:t>
            </w:r>
          </w:p>
        </w:tc>
        <w:tc>
          <w:tcPr>
            <w:tcW w:w="1933" w:type="dxa"/>
            <w:tcBorders>
              <w:top w:val="single" w:color="auto" w:sz="8" w:space="0"/>
              <w:left w:val="single" w:color="auto" w:sz="8" w:space="0"/>
              <w:bottom w:val="single" w:color="auto" w:sz="8" w:space="0"/>
              <w:right w:val="single" w:color="auto" w:sz="8" w:space="0"/>
            </w:tcBorders>
            <w:vAlign w:val="center"/>
          </w:tcPr>
          <w:p w14:paraId="750672C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供应商对采购文件</w:t>
            </w:r>
          </w:p>
          <w:p w14:paraId="6CF5D7D2">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提出质疑的时间</w:t>
            </w:r>
          </w:p>
        </w:tc>
        <w:tc>
          <w:tcPr>
            <w:tcW w:w="6625" w:type="dxa"/>
            <w:tcBorders>
              <w:top w:val="single" w:color="auto" w:sz="8" w:space="0"/>
              <w:left w:val="single" w:color="auto" w:sz="8" w:space="0"/>
              <w:bottom w:val="single" w:color="auto" w:sz="8" w:space="0"/>
              <w:right w:val="single" w:color="auto" w:sz="18" w:space="0"/>
            </w:tcBorders>
            <w:vAlign w:val="center"/>
          </w:tcPr>
          <w:p w14:paraId="47B327E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提疑于</w:t>
            </w:r>
            <w:r>
              <w:rPr>
                <w:rFonts w:hint="eastAsia" w:asciiTheme="minorEastAsia" w:hAnsiTheme="minorEastAsia" w:eastAsiaTheme="minorEastAsia" w:cstheme="minorEastAsia"/>
                <w:kern w:val="0"/>
                <w:sz w:val="21"/>
                <w:szCs w:val="21"/>
                <w:lang w:val="zh-CN"/>
              </w:rPr>
              <w:t>在知道或者应知其权益受到损害之日起</w:t>
            </w:r>
            <w:r>
              <w:rPr>
                <w:rFonts w:hint="eastAsia" w:asciiTheme="minorEastAsia" w:hAnsiTheme="minorEastAsia" w:eastAsiaTheme="minorEastAsia" w:cstheme="minorEastAsia"/>
                <w:kern w:val="0"/>
                <w:sz w:val="21"/>
                <w:szCs w:val="21"/>
              </w:rPr>
              <w:t>7</w:t>
            </w:r>
            <w:r>
              <w:rPr>
                <w:rFonts w:hint="eastAsia" w:asciiTheme="minorEastAsia" w:hAnsiTheme="minorEastAsia" w:eastAsiaTheme="minorEastAsia" w:cstheme="minorEastAsia"/>
                <w:kern w:val="0"/>
                <w:sz w:val="21"/>
                <w:szCs w:val="21"/>
                <w:lang w:val="zh-CN"/>
              </w:rPr>
              <w:t>个工作日内</w:t>
            </w:r>
            <w:r>
              <w:rPr>
                <w:rFonts w:hint="eastAsia" w:asciiTheme="minorEastAsia" w:hAnsiTheme="minorEastAsia" w:eastAsiaTheme="minorEastAsia" w:cstheme="minorEastAsia"/>
                <w:sz w:val="21"/>
                <w:szCs w:val="21"/>
              </w:rPr>
              <w:t>。</w:t>
            </w:r>
          </w:p>
        </w:tc>
      </w:tr>
      <w:tr w14:paraId="4C91A9B1">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19C4314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16</w:t>
            </w:r>
          </w:p>
        </w:tc>
        <w:tc>
          <w:tcPr>
            <w:tcW w:w="1933" w:type="dxa"/>
            <w:tcBorders>
              <w:top w:val="single" w:color="auto" w:sz="8" w:space="0"/>
              <w:left w:val="single" w:color="auto" w:sz="8" w:space="0"/>
              <w:bottom w:val="single" w:color="auto" w:sz="8" w:space="0"/>
              <w:right w:val="single" w:color="auto" w:sz="8" w:space="0"/>
            </w:tcBorders>
            <w:vAlign w:val="center"/>
          </w:tcPr>
          <w:p w14:paraId="55FDFC6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接收质疑函的方式和联系方式</w:t>
            </w:r>
          </w:p>
        </w:tc>
        <w:tc>
          <w:tcPr>
            <w:tcW w:w="6625" w:type="dxa"/>
            <w:tcBorders>
              <w:top w:val="single" w:color="auto" w:sz="8" w:space="0"/>
              <w:left w:val="single" w:color="auto" w:sz="8" w:space="0"/>
              <w:bottom w:val="single" w:color="auto" w:sz="8" w:space="0"/>
              <w:right w:val="single" w:color="auto" w:sz="18" w:space="0"/>
            </w:tcBorders>
          </w:tcPr>
          <w:p w14:paraId="78AAF8D7">
            <w:pPr>
              <w:spacing w:line="360" w:lineRule="auto"/>
              <w:jc w:val="left"/>
              <w:rPr>
                <w:rFonts w:hint="eastAsia" w:ascii="宋体" w:hAnsi="宋体" w:cs="宋体"/>
                <w:color w:val="auto"/>
                <w:sz w:val="21"/>
                <w:szCs w:val="21"/>
              </w:rPr>
            </w:pPr>
            <w:r>
              <w:rPr>
                <w:rFonts w:hint="eastAsia" w:ascii="宋体" w:hAnsi="宋体" w:cs="宋体"/>
                <w:color w:val="auto"/>
                <w:sz w:val="21"/>
                <w:szCs w:val="21"/>
              </w:rPr>
              <w:t>（1）</w:t>
            </w:r>
            <w:r>
              <w:rPr>
                <w:rFonts w:hint="eastAsia" w:ascii="宋体" w:hAnsi="宋体" w:cs="宋体"/>
                <w:color w:val="auto"/>
                <w:sz w:val="21"/>
                <w:szCs w:val="21"/>
                <w:lang w:eastAsia="zh-CN"/>
              </w:rPr>
              <w:t>供应商</w:t>
            </w:r>
            <w:r>
              <w:rPr>
                <w:rFonts w:hint="eastAsia" w:ascii="宋体" w:hAnsi="宋体" w:cs="宋体"/>
                <w:color w:val="auto"/>
                <w:sz w:val="21"/>
                <w:szCs w:val="21"/>
              </w:rPr>
              <w:t>认为采购文件、采购过程和中标或成交结果使自己的权益受到损害的</w:t>
            </w:r>
            <w:r>
              <w:rPr>
                <w:rFonts w:hint="eastAsia" w:ascii="宋体" w:hAnsi="宋体" w:cs="宋体"/>
                <w:color w:val="auto"/>
                <w:sz w:val="21"/>
                <w:szCs w:val="21"/>
                <w:lang w:eastAsia="zh-CN"/>
              </w:rPr>
              <w:t>，</w:t>
            </w:r>
            <w:r>
              <w:rPr>
                <w:rFonts w:hint="eastAsia" w:ascii="宋体" w:hAnsi="宋体" w:cs="宋体"/>
                <w:color w:val="auto"/>
                <w:sz w:val="21"/>
                <w:szCs w:val="21"/>
              </w:rPr>
              <w:t xml:space="preserve"> 可以在知道或者应知其权益受到损害之日起七个工作日内，按中华人民共和国财政部令第94号《政府采购质疑和投诉办法》的相关规定，以书面形式同时向采购人和采购代理机构提出质疑</w:t>
            </w:r>
            <w:r>
              <w:rPr>
                <w:rFonts w:hint="eastAsia" w:ascii="宋体" w:hAnsi="宋体" w:cs="宋体"/>
                <w:color w:val="auto"/>
                <w:sz w:val="21"/>
                <w:szCs w:val="21"/>
                <w:lang w:eastAsia="zh-CN"/>
              </w:rPr>
              <w:t>（</w:t>
            </w:r>
            <w:r>
              <w:rPr>
                <w:rFonts w:hint="eastAsia" w:ascii="宋体" w:hAnsi="宋体" w:cs="宋体"/>
                <w:color w:val="auto"/>
                <w:sz w:val="21"/>
                <w:szCs w:val="21"/>
              </w:rPr>
              <w:t>加盖单位公章且法定代表人签字</w:t>
            </w:r>
            <w:r>
              <w:rPr>
                <w:rFonts w:hint="eastAsia" w:ascii="宋体" w:hAnsi="宋体" w:cs="宋体"/>
                <w:color w:val="auto"/>
                <w:sz w:val="21"/>
                <w:szCs w:val="21"/>
                <w:lang w:eastAsia="zh-CN"/>
              </w:rPr>
              <w:t>）</w:t>
            </w:r>
            <w:r>
              <w:rPr>
                <w:rFonts w:hint="eastAsia" w:ascii="宋体" w:hAnsi="宋体" w:cs="宋体"/>
                <w:color w:val="auto"/>
                <w:sz w:val="21"/>
                <w:szCs w:val="21"/>
              </w:rPr>
              <w:t>，由其授权代表携带法人授权书及本人身份证件提交</w:t>
            </w:r>
            <w:r>
              <w:rPr>
                <w:rFonts w:hint="eastAsia" w:ascii="宋体" w:hAnsi="宋体" w:cs="宋体"/>
                <w:color w:val="auto"/>
                <w:sz w:val="21"/>
                <w:szCs w:val="21"/>
                <w:lang w:eastAsia="zh-CN"/>
              </w:rPr>
              <w:t>（</w:t>
            </w:r>
            <w:r>
              <w:rPr>
                <w:rFonts w:hint="eastAsia" w:ascii="宋体" w:hAnsi="宋体" w:cs="宋体"/>
                <w:color w:val="auto"/>
                <w:sz w:val="21"/>
                <w:szCs w:val="21"/>
              </w:rPr>
              <w:t>邮寄、传真件不予受理</w:t>
            </w:r>
            <w:r>
              <w:rPr>
                <w:rFonts w:hint="eastAsia" w:ascii="宋体" w:hAnsi="宋体" w:cs="宋体"/>
                <w:color w:val="auto"/>
                <w:sz w:val="21"/>
                <w:szCs w:val="21"/>
                <w:lang w:eastAsia="zh-CN"/>
              </w:rPr>
              <w:t>）</w:t>
            </w:r>
            <w:r>
              <w:rPr>
                <w:rFonts w:hint="eastAsia" w:ascii="宋体" w:hAnsi="宋体" w:cs="宋体"/>
                <w:color w:val="auto"/>
                <w:sz w:val="21"/>
                <w:szCs w:val="21"/>
              </w:rPr>
              <w:t>。逾期未提交或未按照要求提交的质疑函将不予受理。</w:t>
            </w:r>
          </w:p>
          <w:p w14:paraId="521948BD">
            <w:pPr>
              <w:spacing w:line="360" w:lineRule="auto"/>
              <w:jc w:val="left"/>
              <w:rPr>
                <w:rFonts w:hint="eastAsia" w:ascii="宋体" w:hAnsi="宋体" w:cs="宋体"/>
                <w:color w:val="auto"/>
                <w:sz w:val="21"/>
                <w:szCs w:val="21"/>
              </w:rPr>
            </w:pPr>
            <w:r>
              <w:rPr>
                <w:rFonts w:hint="eastAsia" w:ascii="宋体" w:hAnsi="宋体" w:cs="宋体"/>
                <w:color w:val="auto"/>
                <w:sz w:val="21"/>
                <w:szCs w:val="21"/>
              </w:rPr>
              <w:t>若有投诉，可按照相关规定以书面形式向监督部门进行投诉。</w:t>
            </w:r>
          </w:p>
          <w:p w14:paraId="2F086596">
            <w:pPr>
              <w:spacing w:line="360" w:lineRule="auto"/>
              <w:jc w:val="left"/>
              <w:rPr>
                <w:rFonts w:hint="eastAsia" w:ascii="宋体" w:hAnsi="宋体" w:cs="宋体"/>
                <w:color w:val="auto"/>
                <w:sz w:val="21"/>
                <w:szCs w:val="21"/>
              </w:rPr>
            </w:pPr>
            <w:r>
              <w:rPr>
                <w:rFonts w:hint="eastAsia" w:ascii="宋体" w:hAnsi="宋体" w:cs="宋体"/>
                <w:color w:val="auto"/>
                <w:sz w:val="21"/>
                <w:szCs w:val="21"/>
              </w:rPr>
              <w:t>（2）质疑函的内容、格式：应符合《政府采购质疑和投诉办法》（财政部第94号令）相关规定和财政部门制定的《政府采购质疑函范本》格式。</w:t>
            </w:r>
          </w:p>
          <w:p w14:paraId="702DE6AF">
            <w:pPr>
              <w:spacing w:line="360" w:lineRule="auto"/>
              <w:jc w:val="left"/>
              <w:rPr>
                <w:rFonts w:hint="eastAsia" w:ascii="宋体" w:hAnsi="宋体" w:cs="宋体"/>
                <w:color w:val="auto"/>
                <w:sz w:val="21"/>
                <w:szCs w:val="21"/>
              </w:rPr>
            </w:pPr>
            <w:r>
              <w:rPr>
                <w:rFonts w:hint="eastAsia" w:ascii="宋体" w:hAnsi="宋体" w:cs="宋体"/>
                <w:color w:val="auto"/>
                <w:sz w:val="21"/>
                <w:szCs w:val="21"/>
              </w:rPr>
              <w:t>（3）</w:t>
            </w:r>
            <w:r>
              <w:rPr>
                <w:rFonts w:hint="eastAsia" w:ascii="宋体" w:hAnsi="宋体" w:cs="宋体"/>
                <w:color w:val="auto"/>
                <w:sz w:val="21"/>
                <w:szCs w:val="21"/>
                <w:lang w:eastAsia="zh-CN"/>
              </w:rPr>
              <w:t>供应商</w:t>
            </w:r>
            <w:r>
              <w:rPr>
                <w:rFonts w:hint="eastAsia" w:ascii="宋体" w:hAnsi="宋体" w:cs="宋体"/>
                <w:color w:val="auto"/>
                <w:sz w:val="21"/>
                <w:szCs w:val="21"/>
              </w:rPr>
              <w:t>应在法定质疑期内一次性提出针对同一采购程序环节的质疑。</w:t>
            </w:r>
          </w:p>
          <w:p w14:paraId="2BF7B472">
            <w:pPr>
              <w:spacing w:line="360" w:lineRule="auto"/>
              <w:jc w:val="left"/>
              <w:rPr>
                <w:rFonts w:hint="eastAsia" w:ascii="宋体" w:hAnsi="宋体" w:cs="宋体"/>
                <w:color w:val="auto"/>
                <w:sz w:val="21"/>
                <w:szCs w:val="21"/>
              </w:rPr>
            </w:pPr>
            <w:r>
              <w:rPr>
                <w:rFonts w:hint="eastAsia" w:ascii="宋体" w:hAnsi="宋体" w:cs="宋体"/>
                <w:color w:val="auto"/>
                <w:sz w:val="21"/>
                <w:szCs w:val="21"/>
              </w:rPr>
              <w:t>（4）接收质疑函联系方式：</w:t>
            </w:r>
          </w:p>
          <w:p w14:paraId="58D25068">
            <w:pPr>
              <w:spacing w:line="360" w:lineRule="auto"/>
              <w:jc w:val="left"/>
              <w:rPr>
                <w:rFonts w:hint="eastAsia" w:ascii="宋体" w:hAnsi="宋体" w:cs="宋体"/>
                <w:color w:val="auto"/>
                <w:sz w:val="21"/>
                <w:szCs w:val="21"/>
              </w:rPr>
            </w:pPr>
            <w:r>
              <w:rPr>
                <w:rFonts w:hint="eastAsia" w:ascii="宋体" w:hAnsi="宋体" w:cs="宋体"/>
                <w:b/>
                <w:bCs/>
                <w:color w:val="auto"/>
                <w:sz w:val="21"/>
                <w:szCs w:val="21"/>
              </w:rPr>
              <w:t>采 购 人：</w:t>
            </w:r>
          </w:p>
          <w:p w14:paraId="23761C07">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名称：平顶山市卫东区教育体育局</w:t>
            </w:r>
          </w:p>
          <w:p w14:paraId="4064F5FC">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地址：平顶山市卫东区新华路中段</w:t>
            </w:r>
          </w:p>
          <w:p w14:paraId="1AFADC9F">
            <w:pPr>
              <w:spacing w:line="360" w:lineRule="auto"/>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联系人：</w:t>
            </w:r>
            <w:r>
              <w:rPr>
                <w:rFonts w:hint="eastAsia" w:asciiTheme="minorEastAsia" w:hAnsiTheme="minorEastAsia" w:eastAsiaTheme="minorEastAsia" w:cstheme="minorEastAsia"/>
                <w:color w:val="auto"/>
                <w:sz w:val="21"/>
                <w:szCs w:val="21"/>
                <w:lang w:val="en-US" w:eastAsia="zh-CN"/>
              </w:rPr>
              <w:t xml:space="preserve">郑先生 </w:t>
            </w:r>
          </w:p>
          <w:p w14:paraId="5419F388">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联系方式：0375-3380839 </w:t>
            </w:r>
          </w:p>
          <w:p w14:paraId="6536D5BC">
            <w:pPr>
              <w:spacing w:line="360" w:lineRule="auto"/>
              <w:jc w:val="left"/>
              <w:rPr>
                <w:rFonts w:hint="eastAsia" w:ascii="宋体" w:hAnsi="宋体" w:cs="宋体"/>
                <w:b/>
                <w:bCs/>
                <w:color w:val="auto"/>
                <w:sz w:val="21"/>
                <w:szCs w:val="21"/>
              </w:rPr>
            </w:pPr>
            <w:r>
              <w:rPr>
                <w:rFonts w:hint="eastAsia" w:ascii="宋体" w:hAnsi="宋体" w:cs="宋体"/>
                <w:b/>
                <w:bCs/>
                <w:color w:val="auto"/>
                <w:sz w:val="21"/>
                <w:szCs w:val="21"/>
              </w:rPr>
              <w:t>采购代理机构信息</w:t>
            </w:r>
          </w:p>
          <w:p w14:paraId="6FA906A1">
            <w:pPr>
              <w:pStyle w:val="52"/>
              <w:spacing w:line="360" w:lineRule="auto"/>
              <w:ind w:firstLine="0" w:firstLineChars="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名称：河南易采工程管理有限公司</w:t>
            </w:r>
          </w:p>
          <w:p w14:paraId="13B24308">
            <w:pPr>
              <w:pStyle w:val="52"/>
              <w:spacing w:line="360" w:lineRule="auto"/>
              <w:ind w:firstLine="0" w:firstLineChars="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地址：河南省平顶山市未来路中段中梁鹰城壹号院</w:t>
            </w:r>
          </w:p>
          <w:p w14:paraId="6113913B">
            <w:pPr>
              <w:pStyle w:val="52"/>
              <w:spacing w:line="360" w:lineRule="auto"/>
              <w:ind w:firstLine="0" w:firstLineChars="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联系人：吴女士</w:t>
            </w:r>
          </w:p>
          <w:p w14:paraId="78C1AF05">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联系方式：0375-2555998    19939030802</w:t>
            </w:r>
          </w:p>
          <w:p w14:paraId="338888D0">
            <w:pPr>
              <w:spacing w:line="360" w:lineRule="auto"/>
              <w:jc w:val="left"/>
              <w:rPr>
                <w:rFonts w:hint="eastAsia" w:asciiTheme="minorEastAsia" w:hAnsiTheme="minorEastAsia" w:eastAsiaTheme="minorEastAsia" w:cstheme="minorEastAsia"/>
                <w:color w:val="auto"/>
                <w:sz w:val="21"/>
                <w:szCs w:val="21"/>
              </w:rPr>
            </w:pPr>
            <w:r>
              <w:rPr>
                <w:rFonts w:hint="eastAsia" w:ascii="宋体" w:hAnsi="宋体" w:cs="宋体"/>
                <w:color w:val="auto"/>
                <w:sz w:val="21"/>
                <w:szCs w:val="21"/>
              </w:rPr>
              <w:t>对供应商提出的质疑，采购人、采购代理机构应当依法及时答复和处理，不得推诿扯皮故意刁难</w:t>
            </w:r>
            <w:r>
              <w:rPr>
                <w:rFonts w:hint="eastAsia" w:ascii="宋体" w:hAnsi="宋体" w:cs="宋体"/>
                <w:color w:val="auto"/>
                <w:sz w:val="21"/>
                <w:szCs w:val="21"/>
                <w:lang w:eastAsia="zh-CN"/>
              </w:rPr>
              <w:t>，必</w:t>
            </w:r>
            <w:r>
              <w:rPr>
                <w:rFonts w:hint="eastAsia" w:ascii="宋体" w:hAnsi="宋体" w:cs="宋体"/>
                <w:color w:val="auto"/>
                <w:sz w:val="21"/>
                <w:szCs w:val="21"/>
              </w:rPr>
              <w:t>须进行实质性回应。</w:t>
            </w:r>
          </w:p>
        </w:tc>
      </w:tr>
      <w:tr w14:paraId="28A00D4E">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25774DB5">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w:t>
            </w:r>
          </w:p>
        </w:tc>
        <w:tc>
          <w:tcPr>
            <w:tcW w:w="1933" w:type="dxa"/>
            <w:tcBorders>
              <w:top w:val="single" w:color="auto" w:sz="8" w:space="0"/>
              <w:left w:val="single" w:color="auto" w:sz="8" w:space="0"/>
              <w:bottom w:val="single" w:color="auto" w:sz="8" w:space="0"/>
              <w:right w:val="single" w:color="auto" w:sz="8" w:space="0"/>
            </w:tcBorders>
            <w:vAlign w:val="center"/>
          </w:tcPr>
          <w:p w14:paraId="58F2625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付款方式</w:t>
            </w:r>
          </w:p>
        </w:tc>
        <w:tc>
          <w:tcPr>
            <w:tcW w:w="6625" w:type="dxa"/>
            <w:tcBorders>
              <w:top w:val="single" w:color="auto" w:sz="8" w:space="0"/>
              <w:left w:val="single" w:color="auto" w:sz="8" w:space="0"/>
              <w:bottom w:val="single" w:color="auto" w:sz="8" w:space="0"/>
              <w:right w:val="single" w:color="auto" w:sz="18" w:space="0"/>
            </w:tcBorders>
            <w:vAlign w:val="center"/>
          </w:tcPr>
          <w:p w14:paraId="2FA13FAF">
            <w:pPr>
              <w:spacing w:line="360" w:lineRule="auto"/>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供货安装调试完毕</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经验收合格后</w:t>
            </w:r>
            <w:r>
              <w:rPr>
                <w:rFonts w:hint="eastAsia" w:asciiTheme="minorEastAsia" w:hAnsiTheme="minorEastAsia" w:eastAsiaTheme="minorEastAsia" w:cstheme="minorEastAsia"/>
                <w:sz w:val="21"/>
                <w:szCs w:val="21"/>
              </w:rPr>
              <w:t>一次性</w:t>
            </w:r>
            <w:r>
              <w:rPr>
                <w:rFonts w:hint="eastAsia" w:asciiTheme="minorEastAsia" w:hAnsiTheme="minorEastAsia" w:eastAsiaTheme="minorEastAsia" w:cstheme="minorEastAsia"/>
                <w:sz w:val="21"/>
                <w:szCs w:val="21"/>
                <w:lang w:val="en-US" w:eastAsia="zh-CN"/>
              </w:rPr>
              <w:t>支付</w:t>
            </w:r>
            <w:r>
              <w:rPr>
                <w:rFonts w:hint="eastAsia" w:asciiTheme="minorEastAsia" w:hAnsiTheme="minorEastAsia" w:eastAsiaTheme="minorEastAsia" w:cstheme="minorEastAsia"/>
                <w:sz w:val="21"/>
                <w:szCs w:val="21"/>
              </w:rPr>
              <w:t>合同款项</w:t>
            </w:r>
            <w:r>
              <w:rPr>
                <w:rFonts w:hint="eastAsia" w:asciiTheme="minorEastAsia" w:hAnsiTheme="minorEastAsia" w:eastAsiaTheme="minorEastAsia" w:cstheme="minorEastAsia"/>
                <w:sz w:val="21"/>
                <w:szCs w:val="21"/>
                <w:lang w:eastAsia="zh-CN"/>
              </w:rPr>
              <w:t>。</w:t>
            </w:r>
          </w:p>
        </w:tc>
      </w:tr>
      <w:tr w14:paraId="7773B201">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0454FAD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18</w:t>
            </w:r>
          </w:p>
        </w:tc>
        <w:tc>
          <w:tcPr>
            <w:tcW w:w="1933" w:type="dxa"/>
            <w:tcBorders>
              <w:top w:val="single" w:color="auto" w:sz="8" w:space="0"/>
              <w:left w:val="single" w:color="auto" w:sz="8" w:space="0"/>
              <w:bottom w:val="single" w:color="auto" w:sz="8" w:space="0"/>
              <w:right w:val="single" w:color="auto" w:sz="8" w:space="0"/>
            </w:tcBorders>
            <w:vAlign w:val="center"/>
          </w:tcPr>
          <w:p w14:paraId="317994D7">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分包履约</w:t>
            </w:r>
          </w:p>
        </w:tc>
        <w:tc>
          <w:tcPr>
            <w:tcW w:w="6625" w:type="dxa"/>
            <w:tcBorders>
              <w:top w:val="single" w:color="auto" w:sz="8" w:space="0"/>
              <w:left w:val="single" w:color="auto" w:sz="8" w:space="0"/>
              <w:bottom w:val="single" w:color="auto" w:sz="8" w:space="0"/>
              <w:right w:val="single" w:color="auto" w:sz="18" w:space="0"/>
            </w:tcBorders>
            <w:vAlign w:val="center"/>
          </w:tcPr>
          <w:p w14:paraId="2BF4605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本项目拒绝分包履约形式履行合同。</w:t>
            </w:r>
          </w:p>
        </w:tc>
      </w:tr>
      <w:tr w14:paraId="12070A99">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2D687CE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w:t>
            </w:r>
          </w:p>
        </w:tc>
        <w:tc>
          <w:tcPr>
            <w:tcW w:w="1933" w:type="dxa"/>
            <w:tcBorders>
              <w:top w:val="single" w:color="auto" w:sz="8" w:space="0"/>
              <w:left w:val="single" w:color="auto" w:sz="8" w:space="0"/>
              <w:bottom w:val="single" w:color="auto" w:sz="8" w:space="0"/>
              <w:right w:val="single" w:color="auto" w:sz="8" w:space="0"/>
            </w:tcBorders>
            <w:vAlign w:val="center"/>
          </w:tcPr>
          <w:p w14:paraId="4412FF9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构成采购文件的其他文件</w:t>
            </w:r>
          </w:p>
        </w:tc>
        <w:tc>
          <w:tcPr>
            <w:tcW w:w="6625" w:type="dxa"/>
            <w:tcBorders>
              <w:top w:val="single" w:color="auto" w:sz="8" w:space="0"/>
              <w:left w:val="single" w:color="auto" w:sz="8" w:space="0"/>
              <w:bottom w:val="single" w:color="auto" w:sz="8" w:space="0"/>
              <w:right w:val="single" w:color="auto" w:sz="18" w:space="0"/>
            </w:tcBorders>
            <w:vAlign w:val="center"/>
          </w:tcPr>
          <w:p w14:paraId="212103AC">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采购文件的澄清、修改书及有关补充通知为采购文件的有效组成部分。</w:t>
            </w:r>
          </w:p>
        </w:tc>
      </w:tr>
      <w:tr w14:paraId="2587B5E8">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0CFD686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w:t>
            </w:r>
          </w:p>
        </w:tc>
        <w:tc>
          <w:tcPr>
            <w:tcW w:w="1933" w:type="dxa"/>
            <w:tcBorders>
              <w:top w:val="single" w:color="auto" w:sz="8" w:space="0"/>
              <w:left w:val="single" w:color="auto" w:sz="8" w:space="0"/>
              <w:bottom w:val="single" w:color="auto" w:sz="8" w:space="0"/>
              <w:right w:val="single" w:color="auto" w:sz="8" w:space="0"/>
            </w:tcBorders>
            <w:vAlign w:val="center"/>
          </w:tcPr>
          <w:p w14:paraId="0362B45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投标截止时间</w:t>
            </w:r>
          </w:p>
        </w:tc>
        <w:tc>
          <w:tcPr>
            <w:tcW w:w="6625" w:type="dxa"/>
            <w:tcBorders>
              <w:top w:val="single" w:color="auto" w:sz="8" w:space="0"/>
              <w:left w:val="single" w:color="auto" w:sz="8" w:space="0"/>
              <w:bottom w:val="single" w:color="auto" w:sz="8" w:space="0"/>
              <w:right w:val="single" w:color="auto" w:sz="18" w:space="0"/>
            </w:tcBorders>
            <w:vAlign w:val="center"/>
          </w:tcPr>
          <w:p w14:paraId="3119BDB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20</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00</w:t>
            </w:r>
            <w:r>
              <w:rPr>
                <w:rFonts w:hint="eastAsia" w:asciiTheme="minorEastAsia" w:hAnsiTheme="minorEastAsia" w:eastAsiaTheme="minorEastAsia" w:cstheme="minorEastAsia"/>
                <w:sz w:val="21"/>
                <w:szCs w:val="21"/>
              </w:rPr>
              <w:t>分（北京时间）</w:t>
            </w:r>
          </w:p>
        </w:tc>
      </w:tr>
      <w:tr w14:paraId="4F7A7F07">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53E0819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w:t>
            </w:r>
          </w:p>
        </w:tc>
        <w:tc>
          <w:tcPr>
            <w:tcW w:w="1933" w:type="dxa"/>
            <w:tcBorders>
              <w:top w:val="single" w:color="auto" w:sz="8" w:space="0"/>
              <w:left w:val="single" w:color="auto" w:sz="8" w:space="0"/>
              <w:bottom w:val="single" w:color="auto" w:sz="8" w:space="0"/>
              <w:right w:val="single" w:color="auto" w:sz="8" w:space="0"/>
            </w:tcBorders>
            <w:vAlign w:val="center"/>
          </w:tcPr>
          <w:p w14:paraId="6E528C9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投标有效期</w:t>
            </w:r>
          </w:p>
        </w:tc>
        <w:tc>
          <w:tcPr>
            <w:tcW w:w="6625" w:type="dxa"/>
            <w:tcBorders>
              <w:top w:val="single" w:color="auto" w:sz="8" w:space="0"/>
              <w:left w:val="single" w:color="auto" w:sz="8" w:space="0"/>
              <w:bottom w:val="single" w:color="auto" w:sz="8" w:space="0"/>
              <w:right w:val="single" w:color="auto" w:sz="18" w:space="0"/>
            </w:tcBorders>
            <w:vAlign w:val="center"/>
          </w:tcPr>
          <w:p w14:paraId="448419D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90日历天</w:t>
            </w:r>
          </w:p>
        </w:tc>
      </w:tr>
      <w:tr w14:paraId="203CA406">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01E1AA4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w:t>
            </w:r>
          </w:p>
        </w:tc>
        <w:tc>
          <w:tcPr>
            <w:tcW w:w="1933" w:type="dxa"/>
            <w:tcBorders>
              <w:top w:val="single" w:color="auto" w:sz="8" w:space="0"/>
              <w:left w:val="single" w:color="auto" w:sz="8" w:space="0"/>
              <w:bottom w:val="single" w:color="auto" w:sz="8" w:space="0"/>
              <w:right w:val="single" w:color="auto" w:sz="8" w:space="0"/>
            </w:tcBorders>
            <w:vAlign w:val="center"/>
          </w:tcPr>
          <w:p w14:paraId="32F3697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备选投标方案</w:t>
            </w:r>
          </w:p>
        </w:tc>
        <w:tc>
          <w:tcPr>
            <w:tcW w:w="6625" w:type="dxa"/>
            <w:tcBorders>
              <w:top w:val="single" w:color="auto" w:sz="8" w:space="0"/>
              <w:left w:val="single" w:color="auto" w:sz="8" w:space="0"/>
              <w:bottom w:val="single" w:color="auto" w:sz="8" w:space="0"/>
              <w:right w:val="single" w:color="auto" w:sz="18" w:space="0"/>
            </w:tcBorders>
            <w:vAlign w:val="center"/>
          </w:tcPr>
          <w:p w14:paraId="63C7705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不接受备选投标方案。</w:t>
            </w:r>
          </w:p>
        </w:tc>
      </w:tr>
      <w:tr w14:paraId="79308298">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370022B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w:t>
            </w:r>
          </w:p>
        </w:tc>
        <w:tc>
          <w:tcPr>
            <w:tcW w:w="1933" w:type="dxa"/>
            <w:tcBorders>
              <w:top w:val="single" w:color="auto" w:sz="8" w:space="0"/>
              <w:left w:val="single" w:color="auto" w:sz="8" w:space="0"/>
              <w:bottom w:val="single" w:color="auto" w:sz="8" w:space="0"/>
              <w:right w:val="single" w:color="auto" w:sz="8" w:space="0"/>
            </w:tcBorders>
            <w:vAlign w:val="center"/>
          </w:tcPr>
          <w:p w14:paraId="05473C4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电子化投标文件的</w:t>
            </w:r>
          </w:p>
          <w:p w14:paraId="0BA20C6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签章</w:t>
            </w:r>
          </w:p>
        </w:tc>
        <w:tc>
          <w:tcPr>
            <w:tcW w:w="6625" w:type="dxa"/>
            <w:tcBorders>
              <w:top w:val="single" w:color="auto" w:sz="8" w:space="0"/>
              <w:left w:val="single" w:color="auto" w:sz="8" w:space="0"/>
              <w:bottom w:val="single" w:color="auto" w:sz="8" w:space="0"/>
              <w:right w:val="single" w:color="auto" w:sz="18" w:space="0"/>
            </w:tcBorders>
            <w:vAlign w:val="center"/>
          </w:tcPr>
          <w:p w14:paraId="605F2FA4">
            <w:pPr>
              <w:pStyle w:val="74"/>
              <w:spacing w:before="2" w:line="360" w:lineRule="auto"/>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1</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lang w:eastAsia="zh-CN"/>
              </w:rPr>
              <w:t>投标人在生成电子化投标文件后，应对电子化投标文件进行签章，未进行签章的视为无效投标。</w:t>
            </w:r>
          </w:p>
          <w:p w14:paraId="12D5F0C7">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招标文件中要求法定代表人或授权委托人签字或盖章的，投标人在进行电子化投标文件签章时，以签盖法定代表人签章为准。电子化投标文件具体制作教材请投标人通过CA证书登录平顶山市公共资源电子化交易系统在右上角“</w:t>
            </w:r>
            <w:r>
              <w:rPr>
                <w:rFonts w:hint="eastAsia" w:asciiTheme="minorEastAsia" w:hAnsiTheme="minorEastAsia" w:eastAsiaTheme="minorEastAsia" w:cstheme="minorEastAsia"/>
                <w:sz w:val="21"/>
                <w:szCs w:val="21"/>
                <w:lang w:eastAsia="zh-CN"/>
              </w:rPr>
              <w:t>组件</w:t>
            </w:r>
            <w:r>
              <w:rPr>
                <w:rFonts w:hint="eastAsia" w:asciiTheme="minorEastAsia" w:hAnsiTheme="minorEastAsia" w:eastAsiaTheme="minorEastAsia" w:cstheme="minorEastAsia"/>
                <w:sz w:val="21"/>
                <w:szCs w:val="21"/>
              </w:rPr>
              <w:t>下载”中查看。</w:t>
            </w:r>
          </w:p>
        </w:tc>
      </w:tr>
      <w:tr w14:paraId="0A955D17">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6818993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w:t>
            </w:r>
          </w:p>
        </w:tc>
        <w:tc>
          <w:tcPr>
            <w:tcW w:w="1933" w:type="dxa"/>
            <w:tcBorders>
              <w:top w:val="single" w:color="auto" w:sz="8" w:space="0"/>
              <w:left w:val="single" w:color="auto" w:sz="8" w:space="0"/>
              <w:bottom w:val="single" w:color="auto" w:sz="8" w:space="0"/>
              <w:right w:val="single" w:color="auto" w:sz="8" w:space="0"/>
            </w:tcBorders>
            <w:vAlign w:val="center"/>
          </w:tcPr>
          <w:p w14:paraId="3C81BA2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电子化投标文件的格式及上传投标</w:t>
            </w:r>
          </w:p>
        </w:tc>
        <w:tc>
          <w:tcPr>
            <w:tcW w:w="6625" w:type="dxa"/>
            <w:tcBorders>
              <w:top w:val="single" w:color="auto" w:sz="8" w:space="0"/>
              <w:left w:val="single" w:color="auto" w:sz="8" w:space="0"/>
              <w:bottom w:val="single" w:color="auto" w:sz="8" w:space="0"/>
              <w:right w:val="single" w:color="auto" w:sz="18" w:space="0"/>
            </w:tcBorders>
            <w:vAlign w:val="center"/>
          </w:tcPr>
          <w:p w14:paraId="77868FB1">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投标人所上传的电子化投标文件，应是通过中心投标文件制作系统制作的，经过签章和加密后生成的电子版投标文件。生成的电子版投标文件包含用于投标文件上传的主文件（项目文件格式为：xxx公司_ 项目名称.file）和用于应急补救的投标文件备份文件（项目文件格式为：xxx公司_ 项目名称.bin），备份文件主要用于电子化开标出现技术问题后的补救，请投标人随身携带。</w:t>
            </w:r>
          </w:p>
          <w:p w14:paraId="7B5C38CB">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注：投标人投报多个标段的，根据标段制作各个标段的投标文件后上传。</w:t>
            </w:r>
          </w:p>
          <w:p w14:paraId="774D800D">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2.</w:t>
            </w:r>
            <w:r>
              <w:rPr>
                <w:rFonts w:hint="eastAsia" w:asciiTheme="minorEastAsia" w:hAnsiTheme="minorEastAsia" w:eastAsiaTheme="minorEastAsia" w:cstheme="minorEastAsia"/>
                <w:sz w:val="21"/>
                <w:szCs w:val="21"/>
              </w:rPr>
              <w:t>电子化投标文件应在投标截止时间前成功上传至平顶山市公共资源电子化交易系统。至投标截止时间止，仍未上传成功的电子化投标文件将不予接收。</w:t>
            </w:r>
          </w:p>
          <w:p w14:paraId="642AF97F">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注：如按照电子化投标操作教材制作完成的电子化投标文件无法上传的，投标人应在投标截止时间前尽早</w:t>
            </w:r>
            <w:r>
              <w:rPr>
                <w:rFonts w:hint="eastAsia" w:asciiTheme="minorEastAsia" w:hAnsiTheme="minorEastAsia" w:eastAsiaTheme="minorEastAsia" w:cstheme="minorEastAsia"/>
                <w:b/>
                <w:bCs/>
                <w:sz w:val="21"/>
                <w:szCs w:val="21"/>
                <w:lang w:eastAsia="zh-CN"/>
              </w:rPr>
              <w:t>地</w:t>
            </w:r>
            <w:r>
              <w:rPr>
                <w:rFonts w:hint="eastAsia" w:asciiTheme="minorEastAsia" w:hAnsiTheme="minorEastAsia" w:eastAsiaTheme="minorEastAsia" w:cstheme="minorEastAsia"/>
                <w:b/>
                <w:bCs/>
                <w:sz w:val="21"/>
                <w:szCs w:val="21"/>
              </w:rPr>
              <w:t>联系中心技术人员，以便有充分的时间进行处理。投标人应充分考虑到处理技术问题和上传数据等工作所需的时间问题，投标文件未在投标截止时间前成功上传的，其投标文件不予接收。</w:t>
            </w:r>
          </w:p>
        </w:tc>
      </w:tr>
      <w:tr w14:paraId="36C85B1B">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08FD016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w:t>
            </w:r>
          </w:p>
        </w:tc>
        <w:tc>
          <w:tcPr>
            <w:tcW w:w="1933" w:type="dxa"/>
            <w:tcBorders>
              <w:top w:val="single" w:color="auto" w:sz="8" w:space="0"/>
              <w:left w:val="single" w:color="auto" w:sz="8" w:space="0"/>
              <w:bottom w:val="single" w:color="auto" w:sz="8" w:space="0"/>
              <w:right w:val="single" w:color="auto" w:sz="8" w:space="0"/>
            </w:tcBorders>
            <w:vAlign w:val="center"/>
          </w:tcPr>
          <w:p w14:paraId="15246D6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投标文件的递交</w:t>
            </w:r>
          </w:p>
        </w:tc>
        <w:tc>
          <w:tcPr>
            <w:tcW w:w="6625" w:type="dxa"/>
            <w:tcBorders>
              <w:top w:val="single" w:color="auto" w:sz="8" w:space="0"/>
              <w:left w:val="single" w:color="auto" w:sz="8" w:space="0"/>
              <w:bottom w:val="single" w:color="auto" w:sz="8" w:space="0"/>
              <w:right w:val="single" w:color="auto" w:sz="18" w:space="0"/>
            </w:tcBorders>
            <w:vAlign w:val="center"/>
          </w:tcPr>
          <w:p w14:paraId="1BC6BC54">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供应商应于202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20</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00</w:t>
            </w:r>
            <w:r>
              <w:rPr>
                <w:rFonts w:hint="eastAsia" w:asciiTheme="minorEastAsia" w:hAnsiTheme="minorEastAsia" w:eastAsiaTheme="minorEastAsia" w:cstheme="minorEastAsia"/>
                <w:sz w:val="21"/>
                <w:szCs w:val="21"/>
              </w:rPr>
              <w:t>分（北京时间）前将投标文件电子版提交到平顶山市公共资源电子化交易系统，逾期送达的不予受理。</w:t>
            </w:r>
          </w:p>
        </w:tc>
      </w:tr>
      <w:tr w14:paraId="7F1A1246">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657AA5D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w:t>
            </w:r>
          </w:p>
        </w:tc>
        <w:tc>
          <w:tcPr>
            <w:tcW w:w="1933" w:type="dxa"/>
            <w:tcBorders>
              <w:top w:val="single" w:color="auto" w:sz="8" w:space="0"/>
              <w:left w:val="single" w:color="auto" w:sz="8" w:space="0"/>
              <w:bottom w:val="single" w:color="auto" w:sz="8" w:space="0"/>
              <w:right w:val="single" w:color="auto" w:sz="8" w:space="0"/>
            </w:tcBorders>
            <w:vAlign w:val="center"/>
          </w:tcPr>
          <w:p w14:paraId="23D05F22">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递交投标文件地点</w:t>
            </w:r>
          </w:p>
        </w:tc>
        <w:tc>
          <w:tcPr>
            <w:tcW w:w="6625" w:type="dxa"/>
            <w:tcBorders>
              <w:top w:val="single" w:color="auto" w:sz="8" w:space="0"/>
              <w:left w:val="single" w:color="auto" w:sz="8" w:space="0"/>
              <w:bottom w:val="single" w:color="auto" w:sz="8" w:space="0"/>
              <w:right w:val="single" w:color="auto" w:sz="18" w:space="0"/>
            </w:tcBorders>
            <w:vAlign w:val="center"/>
          </w:tcPr>
          <w:p w14:paraId="256712D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平顶山市公共资源交易中心电子系统</w:t>
            </w:r>
          </w:p>
        </w:tc>
      </w:tr>
      <w:tr w14:paraId="7A62000B">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39627087">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w:t>
            </w:r>
          </w:p>
        </w:tc>
        <w:tc>
          <w:tcPr>
            <w:tcW w:w="1933" w:type="dxa"/>
            <w:tcBorders>
              <w:top w:val="single" w:color="auto" w:sz="8" w:space="0"/>
              <w:left w:val="single" w:color="auto" w:sz="8" w:space="0"/>
              <w:bottom w:val="single" w:color="auto" w:sz="8" w:space="0"/>
              <w:right w:val="single" w:color="auto" w:sz="8" w:space="0"/>
            </w:tcBorders>
            <w:vAlign w:val="center"/>
          </w:tcPr>
          <w:p w14:paraId="20A599F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开标时间和地点</w:t>
            </w:r>
          </w:p>
        </w:tc>
        <w:tc>
          <w:tcPr>
            <w:tcW w:w="6625" w:type="dxa"/>
            <w:tcBorders>
              <w:top w:val="single" w:color="auto" w:sz="8" w:space="0"/>
              <w:left w:val="single" w:color="auto" w:sz="8" w:space="0"/>
              <w:bottom w:val="single" w:color="auto" w:sz="8" w:space="0"/>
              <w:right w:val="single" w:color="auto" w:sz="18" w:space="0"/>
            </w:tcBorders>
            <w:vAlign w:val="center"/>
          </w:tcPr>
          <w:p w14:paraId="3D83B718">
            <w:pPr>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b/>
                <w:sz w:val="21"/>
                <w:szCs w:val="21"/>
              </w:rPr>
              <w:t>开标时间：</w:t>
            </w:r>
            <w:r>
              <w:rPr>
                <w:rFonts w:hint="eastAsia" w:asciiTheme="minorEastAsia" w:hAnsiTheme="minorEastAsia" w:eastAsiaTheme="minorEastAsia" w:cstheme="minorEastAsia"/>
                <w:sz w:val="21"/>
                <w:szCs w:val="21"/>
              </w:rPr>
              <w:t>同投标截止时间</w:t>
            </w:r>
          </w:p>
          <w:p w14:paraId="4017D5E2">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开标地点：</w:t>
            </w:r>
            <w:r>
              <w:rPr>
                <w:rFonts w:hint="eastAsia" w:asciiTheme="minorEastAsia" w:hAnsiTheme="minorEastAsia" w:eastAsiaTheme="minorEastAsia" w:cstheme="minorEastAsia"/>
                <w:sz w:val="21"/>
                <w:szCs w:val="21"/>
              </w:rPr>
              <w:t>平顶山市公共资源交易中心电子系统。</w:t>
            </w:r>
          </w:p>
          <w:p w14:paraId="5AFE632A">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注：全面实行在线“不见面”开标，投标人远程在线解密投标文件，不再到开标现场，投标人开标前应仔细阅读《“不见面”开标注意事项及操作流程》。</w:t>
            </w:r>
          </w:p>
        </w:tc>
      </w:tr>
      <w:tr w14:paraId="09F7ECED">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6AACC2B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w:t>
            </w:r>
          </w:p>
        </w:tc>
        <w:tc>
          <w:tcPr>
            <w:tcW w:w="1933" w:type="dxa"/>
            <w:tcBorders>
              <w:top w:val="single" w:color="auto" w:sz="8" w:space="0"/>
              <w:left w:val="single" w:color="auto" w:sz="8" w:space="0"/>
              <w:bottom w:val="single" w:color="auto" w:sz="8" w:space="0"/>
              <w:right w:val="single" w:color="auto" w:sz="8" w:space="0"/>
            </w:tcBorders>
            <w:vAlign w:val="center"/>
          </w:tcPr>
          <w:p w14:paraId="67A58715">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评审小组的组建</w:t>
            </w:r>
          </w:p>
        </w:tc>
        <w:tc>
          <w:tcPr>
            <w:tcW w:w="6625" w:type="dxa"/>
            <w:tcBorders>
              <w:top w:val="single" w:color="auto" w:sz="8" w:space="0"/>
              <w:left w:val="single" w:color="auto" w:sz="8" w:space="0"/>
              <w:bottom w:val="single" w:color="auto" w:sz="8" w:space="0"/>
              <w:right w:val="single" w:color="auto" w:sz="18" w:space="0"/>
            </w:tcBorders>
            <w:vAlign w:val="center"/>
          </w:tcPr>
          <w:p w14:paraId="2CD08FD7">
            <w:pPr>
              <w:autoSpaceDE w:val="0"/>
              <w:autoSpaceDN w:val="0"/>
              <w:spacing w:before="1" w:line="360" w:lineRule="auto"/>
              <w:ind w:left="103" w:right="-2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评审小组由采购人的代表和有关评审等方面的专家组成，成员人数为5人以上单数。</w:t>
            </w:r>
          </w:p>
          <w:p w14:paraId="0BC3B51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注</w:t>
            </w:r>
            <w:r>
              <w:rPr>
                <w:rFonts w:hint="eastAsia" w:asciiTheme="minorEastAsia" w:hAnsiTheme="minorEastAsia" w:eastAsiaTheme="minorEastAsia" w:cstheme="minorEastAsia"/>
                <w:b/>
                <w:bCs/>
                <w:spacing w:val="1"/>
                <w:sz w:val="21"/>
                <w:szCs w:val="21"/>
              </w:rPr>
              <w:t>：</w:t>
            </w:r>
            <w:r>
              <w:rPr>
                <w:rFonts w:hint="eastAsia" w:asciiTheme="minorEastAsia" w:hAnsiTheme="minorEastAsia" w:eastAsiaTheme="minorEastAsia" w:cstheme="minorEastAsia"/>
                <w:b/>
                <w:sz w:val="21"/>
                <w:szCs w:val="21"/>
              </w:rPr>
              <w:t>上述规定为一组评标专家组成方式，根据项目标段数量和评标工作量，可</w:t>
            </w:r>
            <w:r>
              <w:rPr>
                <w:rFonts w:hint="eastAsia" w:asciiTheme="minorEastAsia" w:hAnsiTheme="minorEastAsia" w:eastAsiaTheme="minorEastAsia" w:cstheme="minorEastAsia"/>
                <w:b/>
                <w:sz w:val="21"/>
                <w:szCs w:val="21"/>
                <w:lang w:eastAsia="zh-CN"/>
              </w:rPr>
              <w:t>由</w:t>
            </w:r>
            <w:r>
              <w:rPr>
                <w:rFonts w:hint="eastAsia" w:asciiTheme="minorEastAsia" w:hAnsiTheme="minorEastAsia" w:eastAsiaTheme="minorEastAsia" w:cstheme="minorEastAsia"/>
                <w:b/>
                <w:sz w:val="21"/>
                <w:szCs w:val="21"/>
              </w:rPr>
              <w:t>多组专家完成评审，但一个标段只能由一组专家评审。</w:t>
            </w:r>
          </w:p>
        </w:tc>
      </w:tr>
      <w:tr w14:paraId="3EC5A9CB">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7623246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29</w:t>
            </w:r>
          </w:p>
        </w:tc>
        <w:tc>
          <w:tcPr>
            <w:tcW w:w="1933" w:type="dxa"/>
            <w:tcBorders>
              <w:top w:val="single" w:color="auto" w:sz="8" w:space="0"/>
              <w:left w:val="single" w:color="auto" w:sz="8" w:space="0"/>
              <w:bottom w:val="single" w:color="auto" w:sz="8" w:space="0"/>
              <w:right w:val="single" w:color="auto" w:sz="8" w:space="0"/>
            </w:tcBorders>
            <w:vAlign w:val="center"/>
          </w:tcPr>
          <w:p w14:paraId="043ACEA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代理费</w:t>
            </w:r>
          </w:p>
        </w:tc>
        <w:tc>
          <w:tcPr>
            <w:tcW w:w="6625" w:type="dxa"/>
            <w:tcBorders>
              <w:top w:val="single" w:color="auto" w:sz="8" w:space="0"/>
              <w:left w:val="single" w:color="auto" w:sz="8" w:space="0"/>
              <w:bottom w:val="single" w:color="auto" w:sz="8" w:space="0"/>
              <w:right w:val="single" w:color="auto" w:sz="18" w:space="0"/>
            </w:tcBorders>
            <w:vAlign w:val="center"/>
          </w:tcPr>
          <w:p w14:paraId="59B0B48B">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参照豫招协【2023】002号文和发改价格</w:t>
            </w:r>
            <w:r>
              <w:rPr>
                <w:rFonts w:hint="eastAsia" w:asciiTheme="minorEastAsia" w:hAnsiTheme="minorEastAsia" w:eastAsiaTheme="minorEastAsia" w:cstheme="minorEastAsia"/>
                <w:sz w:val="21"/>
                <w:szCs w:val="21"/>
                <w:lang w:eastAsia="zh-CN"/>
              </w:rPr>
              <w:t>〔2015〕299号</w:t>
            </w:r>
            <w:r>
              <w:rPr>
                <w:rFonts w:hint="eastAsia" w:asciiTheme="minorEastAsia" w:hAnsiTheme="minorEastAsia" w:eastAsiaTheme="minorEastAsia" w:cstheme="minorEastAsia"/>
                <w:sz w:val="21"/>
                <w:szCs w:val="21"/>
              </w:rPr>
              <w:t>的规定，</w:t>
            </w:r>
            <w:r>
              <w:rPr>
                <w:rFonts w:hint="eastAsia" w:asciiTheme="minorEastAsia" w:hAnsiTheme="minorEastAsia" w:eastAsiaTheme="minorEastAsia" w:cstheme="minorEastAsia"/>
                <w:kern w:val="0"/>
                <w:sz w:val="21"/>
                <w:szCs w:val="21"/>
              </w:rPr>
              <w:t>由中标人在中标结果公示后向招标代理机构全额交纳招标代理服务费14960</w:t>
            </w:r>
            <w:r>
              <w:rPr>
                <w:rFonts w:hint="eastAsia" w:asciiTheme="minorEastAsia" w:hAnsiTheme="minorEastAsia" w:eastAsiaTheme="minorEastAsia" w:cstheme="minorEastAsia"/>
                <w:sz w:val="21"/>
                <w:szCs w:val="21"/>
              </w:rPr>
              <w:t>元</w:t>
            </w:r>
            <w:r>
              <w:rPr>
                <w:rFonts w:hint="eastAsia" w:asciiTheme="minorEastAsia" w:hAnsiTheme="minorEastAsia" w:eastAsiaTheme="minorEastAsia" w:cstheme="minorEastAsia"/>
                <w:kern w:val="0"/>
                <w:sz w:val="21"/>
                <w:szCs w:val="21"/>
              </w:rPr>
              <w:t>。</w:t>
            </w:r>
          </w:p>
        </w:tc>
      </w:tr>
      <w:tr w14:paraId="2A4053F3">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16DEF9DD">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30</w:t>
            </w:r>
          </w:p>
        </w:tc>
        <w:tc>
          <w:tcPr>
            <w:tcW w:w="1933" w:type="dxa"/>
            <w:tcBorders>
              <w:top w:val="single" w:color="auto" w:sz="8" w:space="0"/>
              <w:left w:val="single" w:color="auto" w:sz="8" w:space="0"/>
              <w:bottom w:val="single" w:color="auto" w:sz="8" w:space="0"/>
              <w:right w:val="single" w:color="auto" w:sz="8" w:space="0"/>
            </w:tcBorders>
            <w:vAlign w:val="center"/>
          </w:tcPr>
          <w:p w14:paraId="2B35A61F">
            <w:pPr>
              <w:spacing w:line="360" w:lineRule="auto"/>
              <w:jc w:val="center"/>
              <w:rPr>
                <w:rFonts w:hint="eastAsia" w:asciiTheme="minorEastAsia" w:hAnsiTheme="minorEastAsia" w:eastAsiaTheme="minorEastAsia" w:cstheme="minorEastAsia"/>
                <w:color w:val="auto"/>
                <w:sz w:val="21"/>
                <w:szCs w:val="21"/>
              </w:rPr>
            </w:pPr>
            <w:r>
              <w:rPr>
                <w:rFonts w:hint="eastAsia" w:ascii="宋体" w:hAnsi="宋体" w:cs="宋体"/>
                <w:color w:val="auto"/>
                <w:sz w:val="21"/>
                <w:szCs w:val="21"/>
              </w:rPr>
              <w:t>验收要求及标准</w:t>
            </w:r>
          </w:p>
        </w:tc>
        <w:tc>
          <w:tcPr>
            <w:tcW w:w="6625" w:type="dxa"/>
            <w:tcBorders>
              <w:top w:val="single" w:color="auto" w:sz="8" w:space="0"/>
              <w:left w:val="single" w:color="auto" w:sz="8" w:space="0"/>
              <w:bottom w:val="single" w:color="auto" w:sz="8" w:space="0"/>
              <w:right w:val="single" w:color="auto" w:sz="18" w:space="0"/>
            </w:tcBorders>
            <w:vAlign w:val="center"/>
          </w:tcPr>
          <w:p w14:paraId="5478FFA0">
            <w:pPr>
              <w:spacing w:line="360" w:lineRule="auto"/>
              <w:jc w:val="lef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本项目完成后，由采购人成立验收小组，按照采购合同的约定对中标人履约情况进行验收。验收时，按照采购合同的约定对每一项技术、服务、安全标准的履约情况进行确认。验收结束后，出具验收书，列明各项标准的验收情况及项目总体评价，由验收双方共同签署。</w:t>
            </w:r>
          </w:p>
          <w:p w14:paraId="76CE1E6F">
            <w:pPr>
              <w:spacing w:line="360" w:lineRule="auto"/>
              <w:jc w:val="lef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2.按照招标文件要求、投标文件响应和承诺验收。</w:t>
            </w:r>
          </w:p>
          <w:p w14:paraId="3603732A">
            <w:pPr>
              <w:spacing w:line="360" w:lineRule="auto"/>
              <w:jc w:val="lef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3.包含货物采购、包装、运输、装卸、备品备件、专用工具、特殊工具、保险、安装调试、检测验收、现场协调、人员培训、质保、税金等一切费用。如有招标文件中没有明确，而本项目必需的各种材料、设备、施工器械均应包括在本项目中，采购人不再另行进行支付有关款项。</w:t>
            </w:r>
          </w:p>
          <w:p w14:paraId="0441EA29">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4.</w:t>
            </w:r>
            <w:r>
              <w:rPr>
                <w:rFonts w:hint="eastAsia" w:asciiTheme="minorEastAsia" w:hAnsiTheme="minorEastAsia" w:eastAsiaTheme="minorEastAsia" w:cstheme="minorEastAsia"/>
                <w:color w:val="auto"/>
                <w:sz w:val="21"/>
                <w:szCs w:val="21"/>
              </w:rPr>
              <w:t>验收标准：</w:t>
            </w:r>
          </w:p>
          <w:p w14:paraId="178A1751">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（1）单证齐全：应有产品合格证（或质量证明），使用说明、发票和其他应具有的单证。</w:t>
            </w:r>
          </w:p>
          <w:p w14:paraId="4ECB2CE0">
            <w:pPr>
              <w:spacing w:line="360" w:lineRule="auto"/>
              <w:jc w:val="left"/>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color w:val="auto"/>
                <w:sz w:val="21"/>
                <w:szCs w:val="21"/>
              </w:rPr>
              <w:t>（2）质量符合国家法律法规规定的标准、招标文件和投标文件（以甲方存放的依据）的要求。</w:t>
            </w:r>
          </w:p>
        </w:tc>
      </w:tr>
      <w:tr w14:paraId="2AC0A5AD">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5FBBEC2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w:t>
            </w:r>
          </w:p>
        </w:tc>
        <w:tc>
          <w:tcPr>
            <w:tcW w:w="1933" w:type="dxa"/>
            <w:tcBorders>
              <w:top w:val="single" w:color="auto" w:sz="8" w:space="0"/>
              <w:left w:val="single" w:color="auto" w:sz="8" w:space="0"/>
              <w:bottom w:val="single" w:color="auto" w:sz="8" w:space="0"/>
              <w:right w:val="single" w:color="auto" w:sz="8" w:space="0"/>
            </w:tcBorders>
            <w:vAlign w:val="center"/>
          </w:tcPr>
          <w:p w14:paraId="19828A6C">
            <w:pPr>
              <w:pStyle w:val="25"/>
              <w:spacing w:before="0" w:beforeAutospacing="0" w:after="0" w:afterAutospacing="0"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其他注意事项</w:t>
            </w:r>
          </w:p>
        </w:tc>
        <w:tc>
          <w:tcPr>
            <w:tcW w:w="6625" w:type="dxa"/>
            <w:tcBorders>
              <w:top w:val="single" w:color="auto" w:sz="8" w:space="0"/>
              <w:left w:val="single" w:color="auto" w:sz="8" w:space="0"/>
              <w:bottom w:val="single" w:color="auto" w:sz="8" w:space="0"/>
              <w:right w:val="single" w:color="auto" w:sz="18" w:space="0"/>
            </w:tcBorders>
            <w:vAlign w:val="center"/>
          </w:tcPr>
          <w:p w14:paraId="71FA954E">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参与同一个标段</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包</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的投标人存在下列情形之一的，其投标</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响应</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文件无效</w:t>
            </w:r>
            <w:r>
              <w:rPr>
                <w:rFonts w:hint="eastAsia" w:asciiTheme="minorEastAsia" w:hAnsiTheme="minorEastAsia" w:eastAsiaTheme="minorEastAsia" w:cstheme="minorEastAsia"/>
                <w:color w:val="000000"/>
                <w:sz w:val="21"/>
                <w:szCs w:val="21"/>
                <w:lang w:eastAsia="zh-CN"/>
              </w:rPr>
              <w:t>：</w:t>
            </w:r>
          </w:p>
          <w:p w14:paraId="726F9D52">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eastAsia="zh-CN"/>
              </w:rPr>
              <w:t>（一）</w:t>
            </w:r>
            <w:r>
              <w:rPr>
                <w:rFonts w:hint="eastAsia" w:asciiTheme="minorEastAsia" w:hAnsiTheme="minorEastAsia" w:eastAsiaTheme="minorEastAsia" w:cstheme="minorEastAsia"/>
                <w:color w:val="000000"/>
                <w:sz w:val="21"/>
                <w:szCs w:val="21"/>
              </w:rPr>
              <w:t>不同投标人的电子投标</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响应</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文件上传计算机的网卡MAC地址、CPU序列号和硬盘序列号等硬件信息相同的</w:t>
            </w:r>
            <w:r>
              <w:rPr>
                <w:rFonts w:hint="eastAsia" w:asciiTheme="minorEastAsia" w:hAnsiTheme="minorEastAsia" w:eastAsiaTheme="minorEastAsia" w:cstheme="minorEastAsia"/>
                <w:color w:val="000000"/>
                <w:sz w:val="21"/>
                <w:szCs w:val="21"/>
                <w:lang w:eastAsia="zh-CN"/>
              </w:rPr>
              <w:t>；</w:t>
            </w:r>
          </w:p>
          <w:p w14:paraId="6B9D8F77">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eastAsia="zh-CN"/>
              </w:rPr>
              <w:t>（二）</w:t>
            </w:r>
            <w:r>
              <w:rPr>
                <w:rFonts w:hint="eastAsia" w:asciiTheme="minorEastAsia" w:hAnsiTheme="minorEastAsia" w:eastAsiaTheme="minorEastAsia" w:cstheme="minorEastAsia"/>
                <w:color w:val="000000"/>
                <w:sz w:val="21"/>
                <w:szCs w:val="21"/>
              </w:rPr>
              <w:t>不同投标人的投标</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响应</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文件由同一电子设备编制、打印加密或者上传</w:t>
            </w:r>
            <w:r>
              <w:rPr>
                <w:rFonts w:hint="eastAsia" w:asciiTheme="minorEastAsia" w:hAnsiTheme="minorEastAsia" w:eastAsiaTheme="minorEastAsia" w:cstheme="minorEastAsia"/>
                <w:color w:val="000000"/>
                <w:sz w:val="21"/>
                <w:szCs w:val="21"/>
                <w:lang w:eastAsia="zh-CN"/>
              </w:rPr>
              <w:t>；</w:t>
            </w:r>
          </w:p>
          <w:p w14:paraId="7752D909">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eastAsia="zh-CN"/>
              </w:rPr>
              <w:t>（三）</w:t>
            </w:r>
            <w:r>
              <w:rPr>
                <w:rFonts w:hint="eastAsia" w:asciiTheme="minorEastAsia" w:hAnsiTheme="minorEastAsia" w:eastAsiaTheme="minorEastAsia" w:cstheme="minorEastAsia"/>
                <w:color w:val="000000"/>
                <w:sz w:val="21"/>
                <w:szCs w:val="21"/>
              </w:rPr>
              <w:t>不同投标人的投标</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响应</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文件由同一电子设备打印、复印</w:t>
            </w:r>
            <w:r>
              <w:rPr>
                <w:rFonts w:hint="eastAsia" w:asciiTheme="minorEastAsia" w:hAnsiTheme="minorEastAsia" w:eastAsiaTheme="minorEastAsia" w:cstheme="minorEastAsia"/>
                <w:color w:val="000000"/>
                <w:sz w:val="21"/>
                <w:szCs w:val="21"/>
                <w:lang w:eastAsia="zh-CN"/>
              </w:rPr>
              <w:t>；</w:t>
            </w:r>
          </w:p>
          <w:p w14:paraId="01A94039">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eastAsia="zh-CN"/>
              </w:rPr>
              <w:t>（四）</w:t>
            </w:r>
            <w:r>
              <w:rPr>
                <w:rFonts w:hint="eastAsia" w:asciiTheme="minorEastAsia" w:hAnsiTheme="minorEastAsia" w:eastAsiaTheme="minorEastAsia" w:cstheme="minorEastAsia"/>
                <w:color w:val="000000"/>
                <w:sz w:val="21"/>
                <w:szCs w:val="21"/>
              </w:rPr>
              <w:t>不同投标人的投标</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响应</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文件由同一人送达或者分发，或者不同投标人联系人为同一人或不同联系人的联系电话一致的</w:t>
            </w:r>
            <w:r>
              <w:rPr>
                <w:rFonts w:hint="eastAsia" w:asciiTheme="minorEastAsia" w:hAnsiTheme="minorEastAsia" w:eastAsiaTheme="minorEastAsia" w:cstheme="minorEastAsia"/>
                <w:color w:val="000000"/>
                <w:sz w:val="21"/>
                <w:szCs w:val="21"/>
                <w:lang w:eastAsia="zh-CN"/>
              </w:rPr>
              <w:t>；</w:t>
            </w:r>
          </w:p>
          <w:p w14:paraId="02DE77BC">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eastAsia="zh-CN"/>
              </w:rPr>
              <w:t>（五）</w:t>
            </w:r>
            <w:r>
              <w:rPr>
                <w:rFonts w:hint="eastAsia" w:asciiTheme="minorEastAsia" w:hAnsiTheme="minorEastAsia" w:eastAsiaTheme="minorEastAsia" w:cstheme="minorEastAsia"/>
                <w:color w:val="000000"/>
                <w:sz w:val="21"/>
                <w:szCs w:val="21"/>
              </w:rPr>
              <w:t>不同投标人的投标</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响应</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文件的内容存在两处以上细节错误一致</w:t>
            </w:r>
            <w:r>
              <w:rPr>
                <w:rFonts w:hint="eastAsia" w:asciiTheme="minorEastAsia" w:hAnsiTheme="minorEastAsia" w:eastAsiaTheme="minorEastAsia" w:cstheme="minorEastAsia"/>
                <w:color w:val="000000"/>
                <w:sz w:val="21"/>
                <w:szCs w:val="21"/>
                <w:lang w:eastAsia="zh-CN"/>
              </w:rPr>
              <w:t>；</w:t>
            </w:r>
          </w:p>
          <w:p w14:paraId="2D79CDB0">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eastAsia="zh-CN"/>
              </w:rPr>
              <w:t>（六）</w:t>
            </w:r>
            <w:r>
              <w:rPr>
                <w:rFonts w:hint="eastAsia" w:asciiTheme="minorEastAsia" w:hAnsiTheme="minorEastAsia" w:eastAsiaTheme="minorEastAsia" w:cstheme="minorEastAsia"/>
                <w:color w:val="000000"/>
                <w:sz w:val="21"/>
                <w:szCs w:val="21"/>
              </w:rPr>
              <w:t>不同投标人的法定代表人、委托代理人、项目经理、项目负责人等由同一个单位缴纳社会保险或者领取报酬的</w:t>
            </w:r>
            <w:r>
              <w:rPr>
                <w:rFonts w:hint="eastAsia" w:asciiTheme="minorEastAsia" w:hAnsiTheme="minorEastAsia" w:eastAsiaTheme="minorEastAsia" w:cstheme="minorEastAsia"/>
                <w:color w:val="000000"/>
                <w:sz w:val="21"/>
                <w:szCs w:val="21"/>
                <w:lang w:eastAsia="zh-CN"/>
              </w:rPr>
              <w:t>；</w:t>
            </w:r>
          </w:p>
          <w:p w14:paraId="409CF7FE">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eastAsia="zh-CN"/>
              </w:rPr>
              <w:t>（七）</w:t>
            </w:r>
            <w:r>
              <w:rPr>
                <w:rFonts w:hint="eastAsia" w:asciiTheme="minorEastAsia" w:hAnsiTheme="minorEastAsia" w:eastAsiaTheme="minorEastAsia" w:cstheme="minorEastAsia"/>
                <w:color w:val="000000"/>
                <w:sz w:val="21"/>
                <w:szCs w:val="21"/>
              </w:rPr>
              <w:t>不同投标人投标</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响应</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文件中法定代表人或者负责人签字出自同一人之手</w:t>
            </w:r>
            <w:r>
              <w:rPr>
                <w:rFonts w:hint="eastAsia" w:asciiTheme="minorEastAsia" w:hAnsiTheme="minorEastAsia" w:eastAsiaTheme="minorEastAsia" w:cstheme="minorEastAsia"/>
                <w:color w:val="000000"/>
                <w:sz w:val="21"/>
                <w:szCs w:val="21"/>
                <w:lang w:eastAsia="zh-CN"/>
              </w:rPr>
              <w:t>；</w:t>
            </w:r>
          </w:p>
          <w:p w14:paraId="48EB7D80">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eastAsia="zh-CN"/>
              </w:rPr>
              <w:t>（八）其他</w:t>
            </w:r>
            <w:r>
              <w:rPr>
                <w:rFonts w:hint="eastAsia" w:asciiTheme="minorEastAsia" w:hAnsiTheme="minorEastAsia" w:eastAsiaTheme="minorEastAsia" w:cstheme="minorEastAsia"/>
                <w:color w:val="000000"/>
                <w:sz w:val="21"/>
                <w:szCs w:val="21"/>
              </w:rPr>
              <w:t>涉嫌串通的情形。</w:t>
            </w:r>
          </w:p>
        </w:tc>
      </w:tr>
      <w:tr w14:paraId="31697FEE">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61044E1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w:t>
            </w:r>
          </w:p>
        </w:tc>
        <w:tc>
          <w:tcPr>
            <w:tcW w:w="1933" w:type="dxa"/>
            <w:tcBorders>
              <w:top w:val="single" w:color="auto" w:sz="8" w:space="0"/>
              <w:left w:val="single" w:color="auto" w:sz="8" w:space="0"/>
              <w:bottom w:val="single" w:color="auto" w:sz="8" w:space="0"/>
              <w:right w:val="single" w:color="auto" w:sz="8" w:space="0"/>
            </w:tcBorders>
            <w:vAlign w:val="center"/>
          </w:tcPr>
          <w:p w14:paraId="2908DA3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政采领域优化营商环境相关政策</w:t>
            </w:r>
          </w:p>
        </w:tc>
        <w:tc>
          <w:tcPr>
            <w:tcW w:w="6625" w:type="dxa"/>
            <w:tcBorders>
              <w:top w:val="single" w:color="auto" w:sz="8" w:space="0"/>
              <w:left w:val="single" w:color="auto" w:sz="8" w:space="0"/>
              <w:bottom w:val="single" w:color="auto" w:sz="8" w:space="0"/>
              <w:right w:val="single" w:color="auto" w:sz="18" w:space="0"/>
            </w:tcBorders>
            <w:vAlign w:val="center"/>
          </w:tcPr>
          <w:p w14:paraId="6E527889">
            <w:pPr>
              <w:spacing w:line="360" w:lineRule="auto"/>
              <w:jc w:val="lef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一、落实四个“一日办”精神：</w:t>
            </w:r>
          </w:p>
          <w:p w14:paraId="79151CF9">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按照《平顶山市财政局关于压减政府采购各环节时限进一步优化政府采购营商环境的通知》（平财购〔2021〕34号）通知，落实四个“一日办”精神：</w:t>
            </w:r>
          </w:p>
          <w:p w14:paraId="6F062042">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（1）在评审结束后1日内确定采购结果，同时对中标单位发出中标或成交通知书，并在网上进行公告；</w:t>
            </w:r>
          </w:p>
          <w:p w14:paraId="6AEB80EA">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（2）中标或成交通知书发出后，1日内与中标或成交供应商签订合同，合同签订当日完成合同备案工作；</w:t>
            </w:r>
          </w:p>
          <w:p w14:paraId="26369CE8">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（3）政府采购项目供应商履约完成后，采购人应在供应商提出验收申请1个工作日内完成验收，同时在政府采购网发布验收结果公告；</w:t>
            </w:r>
          </w:p>
          <w:p w14:paraId="01BCE5D7">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（4）验收合格具备付款条件的项目，采购人要在1个工作日内按照合同约定支付项目资金。</w:t>
            </w:r>
          </w:p>
          <w:p w14:paraId="1861EE0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注：签合同需法定代表人携带本人身份证（如为授权委托人，则携带法定代表人授权委托书及本人身份证）、单位公章、合同纸质版本一式六份及合同电子版。</w:t>
            </w:r>
          </w:p>
          <w:p w14:paraId="3C36EE56">
            <w:pPr>
              <w:spacing w:line="360" w:lineRule="auto"/>
              <w:jc w:val="lef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二、维护企业在政府采购活动中的知情权</w:t>
            </w:r>
          </w:p>
          <w:p w14:paraId="043F7BFE">
            <w:pPr>
              <w:spacing w:line="360" w:lineRule="auto"/>
              <w:ind w:firstLine="420" w:firstLineChars="20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31867772">
            <w:pPr>
              <w:spacing w:line="360" w:lineRule="auto"/>
              <w:jc w:val="lef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三、提供中小企业声明函格式</w:t>
            </w:r>
          </w:p>
          <w:p w14:paraId="26F6A251">
            <w:pPr>
              <w:spacing w:line="360" w:lineRule="auto"/>
              <w:ind w:firstLine="420" w:firstLineChars="20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已在采购文件中按照财政部、工信部印发的《政府采购促进中小企业发展管理办法》的通知精神（财库〔2020〕46号）提供中小企业声明函格式。</w:t>
            </w:r>
          </w:p>
          <w:p w14:paraId="43F7E96D">
            <w:pPr>
              <w:spacing w:line="360" w:lineRule="auto"/>
              <w:jc w:val="lef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四、推广政府采购合同融资</w:t>
            </w:r>
          </w:p>
          <w:p w14:paraId="17DCB32C">
            <w:pPr>
              <w:spacing w:line="360" w:lineRule="auto"/>
              <w:ind w:firstLine="420" w:firstLineChars="20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“政府采购合同融资告知函”见招标文件附件，鼓励中标供应商凭借采购合同申请贷款，助力解决中小企业融资难、融资贵的问题。</w:t>
            </w:r>
          </w:p>
          <w:p w14:paraId="0E67D856">
            <w:pPr>
              <w:spacing w:line="360" w:lineRule="auto"/>
              <w:jc w:val="lef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五、落实预留采购份额</w:t>
            </w:r>
          </w:p>
          <w:p w14:paraId="25A700E3">
            <w:pPr>
              <w:spacing w:line="360" w:lineRule="auto"/>
              <w:ind w:firstLine="420" w:firstLineChars="20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1BA52EDC">
            <w:pPr>
              <w:spacing w:line="360" w:lineRule="auto"/>
              <w:jc w:val="lef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六、落实价格评审优惠政策</w:t>
            </w:r>
          </w:p>
          <w:p w14:paraId="2FA1960D">
            <w:pPr>
              <w:spacing w:line="360" w:lineRule="auto"/>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sz w:val="21"/>
                <w:szCs w:val="21"/>
              </w:rPr>
              <w:t>（1）执行财政部、工业和信息化部关于印发《政府采购促进中小企业发展暂行办法》的通知（财库〔2020〕46号），</w:t>
            </w:r>
            <w:r>
              <w:rPr>
                <w:rFonts w:hint="eastAsia" w:asciiTheme="minorEastAsia" w:hAnsiTheme="minorEastAsia" w:eastAsiaTheme="minorEastAsia" w:cstheme="minorEastAsia"/>
                <w:b/>
                <w:color w:val="FF0000"/>
                <w:sz w:val="21"/>
                <w:szCs w:val="21"/>
              </w:rPr>
              <w:t>本项目执行价格评审优惠政策，对小型和微型企业给予20%的价格扣除，用扣除后的价格参与报价评审。</w:t>
            </w:r>
          </w:p>
          <w:p w14:paraId="33DB506A">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根据财政部、司法部《关于政府采购支持监狱企业发展有关问题》的通知（财库〔2014〕68号），监狱企业参加本项目投标时，应当提供由省级以上监狱管理局、戒毒管理局（新疆生产建设兵团）出具的属于监狱企业的证明文件。</w:t>
            </w:r>
            <w:r>
              <w:rPr>
                <w:rFonts w:hint="eastAsia" w:asciiTheme="minorEastAsia" w:hAnsiTheme="minorEastAsia" w:eastAsiaTheme="minorEastAsia" w:cstheme="minorEastAsia"/>
                <w:b/>
                <w:sz w:val="21"/>
                <w:szCs w:val="21"/>
              </w:rPr>
              <w:t>监狱企业视同小型、微型企业。</w:t>
            </w:r>
          </w:p>
          <w:p w14:paraId="5D905854">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（3）根据财政部、民政部、中国残疾人联合会《关于促进残疾人就业政府采购政策的通知》（财库〔2017〕141号），在政府采购活动中，</w:t>
            </w:r>
            <w:r>
              <w:rPr>
                <w:rFonts w:hint="eastAsia" w:asciiTheme="minorEastAsia" w:hAnsiTheme="minorEastAsia" w:eastAsiaTheme="minorEastAsia" w:cstheme="minorEastAsia"/>
                <w:b/>
                <w:sz w:val="21"/>
                <w:szCs w:val="21"/>
              </w:rPr>
              <w:t>残疾人福利性单位视同小型、微型企业。</w:t>
            </w:r>
            <w:r>
              <w:rPr>
                <w:rFonts w:hint="eastAsia" w:asciiTheme="minorEastAsia" w:hAnsiTheme="minorEastAsia" w:eastAsiaTheme="minorEastAsia" w:cstheme="minorEastAsia"/>
                <w:sz w:val="21"/>
                <w:szCs w:val="21"/>
              </w:rPr>
              <w:t>投标人属于残疾人福利性单位的，按照招标文件格式提供《残疾人福利性单位声明函》。</w:t>
            </w:r>
          </w:p>
          <w:p w14:paraId="74D5B8FE">
            <w:pPr>
              <w:spacing w:line="360" w:lineRule="auto"/>
              <w:jc w:val="lef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说明：不符合上述适用情形的投标人无须提供上述声明函件。</w:t>
            </w:r>
          </w:p>
        </w:tc>
      </w:tr>
      <w:tr w14:paraId="326E95ED">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75ABE37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w:t>
            </w:r>
          </w:p>
        </w:tc>
        <w:tc>
          <w:tcPr>
            <w:tcW w:w="1933" w:type="dxa"/>
            <w:tcBorders>
              <w:top w:val="single" w:color="auto" w:sz="8" w:space="0"/>
              <w:left w:val="single" w:color="auto" w:sz="8" w:space="0"/>
              <w:bottom w:val="single" w:color="auto" w:sz="8" w:space="0"/>
              <w:right w:val="single" w:color="auto" w:sz="8" w:space="0"/>
            </w:tcBorders>
            <w:vAlign w:val="center"/>
          </w:tcPr>
          <w:p w14:paraId="4D5E644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FF0000"/>
                <w:sz w:val="21"/>
                <w:szCs w:val="21"/>
              </w:rPr>
              <w:t>落实绿色产品（节能产品、环境标志产品）优先采购政策</w:t>
            </w:r>
          </w:p>
        </w:tc>
        <w:tc>
          <w:tcPr>
            <w:tcW w:w="6625" w:type="dxa"/>
            <w:tcBorders>
              <w:top w:val="single" w:color="auto" w:sz="8" w:space="0"/>
              <w:left w:val="single" w:color="auto" w:sz="8" w:space="0"/>
              <w:bottom w:val="single" w:color="auto" w:sz="8" w:space="0"/>
              <w:right w:val="single" w:color="auto" w:sz="18" w:space="0"/>
            </w:tcBorders>
            <w:vAlign w:val="center"/>
          </w:tcPr>
          <w:p w14:paraId="42042B90">
            <w:pPr>
              <w:spacing w:line="360" w:lineRule="auto"/>
              <w:jc w:val="left"/>
              <w:rPr>
                <w:rFonts w:asciiTheme="minorEastAsia" w:hAnsiTheme="minorEastAsia" w:eastAsiaTheme="minorEastAsia" w:cstheme="minorEastAsia"/>
                <w:b/>
                <w:color w:val="FF0000"/>
                <w:sz w:val="21"/>
                <w:szCs w:val="21"/>
              </w:rPr>
            </w:pPr>
            <w:r>
              <w:rPr>
                <w:rFonts w:hint="eastAsia" w:asciiTheme="minorEastAsia" w:hAnsiTheme="minorEastAsia" w:eastAsiaTheme="minorEastAsia" w:cstheme="minorEastAsia"/>
                <w:b/>
                <w:color w:val="FF0000"/>
                <w:sz w:val="21"/>
                <w:szCs w:val="21"/>
              </w:rPr>
              <w:t>1.所采购的核心产品在政府采购节能产品实施品目清单范围内，且具有国家确定的认证机构出具的、处于有效期之内的节能产品的证明材料的得1分，如没有不得分。</w:t>
            </w:r>
          </w:p>
          <w:p w14:paraId="17BD213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FF0000"/>
                <w:sz w:val="21"/>
                <w:szCs w:val="21"/>
              </w:rPr>
              <w:t>2.所采购的核心产品在政府采购环境标志产品实施品目清单范围内，且具有国家确定的认证机构出具的、处于有效期之内的环境标志产品认证证书的证明材料的得1分，如没有不得分。</w:t>
            </w:r>
          </w:p>
        </w:tc>
      </w:tr>
      <w:tr w14:paraId="110CE4A2">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022A6CD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w:t>
            </w:r>
          </w:p>
        </w:tc>
        <w:tc>
          <w:tcPr>
            <w:tcW w:w="1933" w:type="dxa"/>
            <w:tcBorders>
              <w:top w:val="single" w:color="auto" w:sz="8" w:space="0"/>
              <w:left w:val="single" w:color="auto" w:sz="8" w:space="0"/>
              <w:bottom w:val="single" w:color="auto" w:sz="8" w:space="0"/>
              <w:right w:val="single" w:color="auto" w:sz="8" w:space="0"/>
            </w:tcBorders>
            <w:vAlign w:val="center"/>
          </w:tcPr>
          <w:p w14:paraId="1CA6540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w:t>
            </w:r>
          </w:p>
        </w:tc>
        <w:tc>
          <w:tcPr>
            <w:tcW w:w="6625" w:type="dxa"/>
            <w:tcBorders>
              <w:top w:val="single" w:color="auto" w:sz="8" w:space="0"/>
              <w:left w:val="single" w:color="auto" w:sz="8" w:space="0"/>
              <w:bottom w:val="single" w:color="auto" w:sz="8" w:space="0"/>
              <w:right w:val="single" w:color="auto" w:sz="18" w:space="0"/>
            </w:tcBorders>
            <w:vAlign w:val="center"/>
          </w:tcPr>
          <w:p w14:paraId="6180BB3D">
            <w:pPr>
              <w:pStyle w:val="12"/>
              <w:spacing w:line="360" w:lineRule="auto"/>
              <w:ind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各供应商可通过《河南省政府采购网》《平顶山市政府采购网》《平顶山市卫东区政府采购网》《全国公共资源交易平台（河南省·平顶山市）》《河南省公共资源交易公共服务平台》自行查看中标（成交）公告及相关附件，同时代理公司将会以短信、电话或邮箱的方式通知相关未中标（成交）供应商。</w:t>
            </w:r>
          </w:p>
        </w:tc>
      </w:tr>
      <w:tr w14:paraId="5BEE0D4C">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694B5DE5">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35</w:t>
            </w:r>
          </w:p>
        </w:tc>
        <w:tc>
          <w:tcPr>
            <w:tcW w:w="1933" w:type="dxa"/>
            <w:tcBorders>
              <w:top w:val="single" w:color="auto" w:sz="8" w:space="0"/>
              <w:left w:val="single" w:color="auto" w:sz="8" w:space="0"/>
              <w:bottom w:val="single" w:color="auto" w:sz="8" w:space="0"/>
              <w:right w:val="single" w:color="auto" w:sz="8" w:space="0"/>
            </w:tcBorders>
            <w:vAlign w:val="center"/>
          </w:tcPr>
          <w:p w14:paraId="33D9547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履约保证金</w:t>
            </w:r>
          </w:p>
        </w:tc>
        <w:tc>
          <w:tcPr>
            <w:tcW w:w="6625" w:type="dxa"/>
            <w:tcBorders>
              <w:top w:val="single" w:color="auto" w:sz="8" w:space="0"/>
              <w:left w:val="single" w:color="auto" w:sz="8" w:space="0"/>
              <w:bottom w:val="single" w:color="auto" w:sz="8" w:space="0"/>
              <w:right w:val="single" w:color="auto" w:sz="18" w:space="0"/>
            </w:tcBorders>
            <w:vAlign w:val="center"/>
          </w:tcPr>
          <w:p w14:paraId="7EDABCB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根据河南省财政厅关于优化政府采购营商环境有关问题的通知（豫财购</w:t>
            </w:r>
            <w:r>
              <w:rPr>
                <w:rFonts w:hint="eastAsia" w:asciiTheme="minorEastAsia" w:hAnsiTheme="minorEastAsia" w:eastAsiaTheme="minorEastAsia" w:cstheme="minorEastAsia"/>
                <w:sz w:val="21"/>
                <w:szCs w:val="21"/>
                <w:lang w:eastAsia="zh-CN"/>
              </w:rPr>
              <w:t>〔2019〕4号</w:t>
            </w:r>
            <w:r>
              <w:rPr>
                <w:rFonts w:hint="eastAsia" w:asciiTheme="minorEastAsia" w:hAnsiTheme="minorEastAsia" w:eastAsiaTheme="minorEastAsia" w:cstheme="minorEastAsia"/>
                <w:sz w:val="21"/>
                <w:szCs w:val="21"/>
              </w:rPr>
              <w:t>文），落实其文件精神，降低供应商参与政府采购活动交易成本，本项目不收取履约保证金。</w:t>
            </w:r>
          </w:p>
        </w:tc>
      </w:tr>
      <w:tr w14:paraId="3D08FC64">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4E76992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36</w:t>
            </w:r>
          </w:p>
        </w:tc>
        <w:tc>
          <w:tcPr>
            <w:tcW w:w="1933" w:type="dxa"/>
            <w:tcBorders>
              <w:top w:val="single" w:color="auto" w:sz="8" w:space="0"/>
              <w:left w:val="single" w:color="auto" w:sz="8" w:space="0"/>
              <w:bottom w:val="single" w:color="auto" w:sz="8" w:space="0"/>
              <w:right w:val="single" w:color="auto" w:sz="8" w:space="0"/>
            </w:tcBorders>
            <w:vAlign w:val="center"/>
          </w:tcPr>
          <w:p w14:paraId="5F652D12">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文件费</w:t>
            </w:r>
          </w:p>
        </w:tc>
        <w:tc>
          <w:tcPr>
            <w:tcW w:w="6625" w:type="dxa"/>
            <w:tcBorders>
              <w:top w:val="single" w:color="auto" w:sz="8" w:space="0"/>
              <w:left w:val="single" w:color="auto" w:sz="8" w:space="0"/>
              <w:bottom w:val="single" w:color="auto" w:sz="8" w:space="0"/>
              <w:right w:val="single" w:color="auto" w:sz="18" w:space="0"/>
            </w:tcBorders>
            <w:vAlign w:val="center"/>
          </w:tcPr>
          <w:p w14:paraId="2F7A8C4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不收取</w:t>
            </w:r>
          </w:p>
        </w:tc>
      </w:tr>
      <w:tr w14:paraId="4014C191">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6C3A6E88">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37</w:t>
            </w:r>
          </w:p>
        </w:tc>
        <w:tc>
          <w:tcPr>
            <w:tcW w:w="1933" w:type="dxa"/>
            <w:tcBorders>
              <w:top w:val="single" w:color="auto" w:sz="8" w:space="0"/>
              <w:left w:val="single" w:color="auto" w:sz="8" w:space="0"/>
              <w:bottom w:val="single" w:color="auto" w:sz="8" w:space="0"/>
              <w:right w:val="single" w:color="auto" w:sz="8" w:space="0"/>
            </w:tcBorders>
            <w:vAlign w:val="center"/>
          </w:tcPr>
          <w:p w14:paraId="208D6AC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保证金</w:t>
            </w:r>
          </w:p>
        </w:tc>
        <w:tc>
          <w:tcPr>
            <w:tcW w:w="6625" w:type="dxa"/>
            <w:tcBorders>
              <w:top w:val="single" w:color="auto" w:sz="8" w:space="0"/>
              <w:left w:val="single" w:color="auto" w:sz="8" w:space="0"/>
              <w:bottom w:val="single" w:color="auto" w:sz="8" w:space="0"/>
              <w:right w:val="single" w:color="auto" w:sz="18" w:space="0"/>
            </w:tcBorders>
            <w:vAlign w:val="center"/>
          </w:tcPr>
          <w:p w14:paraId="6AFF0A4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不收取</w:t>
            </w:r>
          </w:p>
        </w:tc>
      </w:tr>
      <w:tr w14:paraId="16C1A3D7">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14464E6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38</w:t>
            </w:r>
          </w:p>
        </w:tc>
        <w:tc>
          <w:tcPr>
            <w:tcW w:w="1933" w:type="dxa"/>
            <w:tcBorders>
              <w:top w:val="single" w:color="auto" w:sz="8" w:space="0"/>
              <w:left w:val="single" w:color="auto" w:sz="8" w:space="0"/>
              <w:bottom w:val="single" w:color="auto" w:sz="8" w:space="0"/>
              <w:right w:val="single" w:color="auto" w:sz="8" w:space="0"/>
            </w:tcBorders>
            <w:vAlign w:val="center"/>
          </w:tcPr>
          <w:p w14:paraId="5240EFE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质保金</w:t>
            </w:r>
          </w:p>
        </w:tc>
        <w:tc>
          <w:tcPr>
            <w:tcW w:w="6625" w:type="dxa"/>
            <w:tcBorders>
              <w:top w:val="single" w:color="auto" w:sz="8" w:space="0"/>
              <w:left w:val="single" w:color="auto" w:sz="8" w:space="0"/>
              <w:bottom w:val="single" w:color="auto" w:sz="8" w:space="0"/>
              <w:right w:val="single" w:color="auto" w:sz="18" w:space="0"/>
            </w:tcBorders>
            <w:vAlign w:val="center"/>
          </w:tcPr>
          <w:p w14:paraId="61AC21D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不收取</w:t>
            </w:r>
          </w:p>
        </w:tc>
      </w:tr>
      <w:tr w14:paraId="0E06F39F">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5EE4BDB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39</w:t>
            </w:r>
          </w:p>
        </w:tc>
        <w:tc>
          <w:tcPr>
            <w:tcW w:w="1933" w:type="dxa"/>
            <w:tcBorders>
              <w:top w:val="single" w:color="auto" w:sz="8" w:space="0"/>
              <w:left w:val="single" w:color="auto" w:sz="8" w:space="0"/>
              <w:bottom w:val="single" w:color="auto" w:sz="8" w:space="0"/>
              <w:right w:val="single" w:color="auto" w:sz="8" w:space="0"/>
            </w:tcBorders>
            <w:vAlign w:val="center"/>
          </w:tcPr>
          <w:p w14:paraId="1DD45C3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本项目所属行业</w:t>
            </w:r>
          </w:p>
        </w:tc>
        <w:tc>
          <w:tcPr>
            <w:tcW w:w="6625" w:type="dxa"/>
            <w:tcBorders>
              <w:top w:val="single" w:color="auto" w:sz="8" w:space="0"/>
              <w:left w:val="single" w:color="auto" w:sz="8" w:space="0"/>
              <w:bottom w:val="single" w:color="auto" w:sz="8" w:space="0"/>
              <w:right w:val="single" w:color="auto" w:sz="18" w:space="0"/>
            </w:tcBorders>
            <w:vAlign w:val="center"/>
          </w:tcPr>
          <w:p w14:paraId="2B455DF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本项目所属行业为工业（制造业）</w:t>
            </w:r>
          </w:p>
        </w:tc>
      </w:tr>
      <w:tr w14:paraId="718215EF">
        <w:tblPrEx>
          <w:tblCellMar>
            <w:top w:w="0" w:type="dxa"/>
            <w:left w:w="0" w:type="dxa"/>
            <w:bottom w:w="0" w:type="dxa"/>
            <w:right w:w="0" w:type="dxa"/>
          </w:tblCellMar>
        </w:tblPrEx>
        <w:trPr>
          <w:trHeight w:val="567" w:hRule="atLeast"/>
          <w:jc w:val="center"/>
        </w:trPr>
        <w:tc>
          <w:tcPr>
            <w:tcW w:w="1241" w:type="dxa"/>
            <w:tcBorders>
              <w:top w:val="single" w:color="auto" w:sz="8" w:space="0"/>
              <w:left w:val="single" w:color="auto" w:sz="18" w:space="0"/>
              <w:bottom w:val="single" w:color="auto" w:sz="8" w:space="0"/>
              <w:right w:val="single" w:color="auto" w:sz="8" w:space="0"/>
            </w:tcBorders>
            <w:vAlign w:val="center"/>
          </w:tcPr>
          <w:p w14:paraId="63C5B18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40</w:t>
            </w:r>
          </w:p>
        </w:tc>
        <w:tc>
          <w:tcPr>
            <w:tcW w:w="1933" w:type="dxa"/>
            <w:tcBorders>
              <w:top w:val="single" w:color="auto" w:sz="8" w:space="0"/>
              <w:left w:val="single" w:color="auto" w:sz="8" w:space="0"/>
              <w:bottom w:val="single" w:color="auto" w:sz="8" w:space="0"/>
              <w:right w:val="single" w:color="auto" w:sz="8" w:space="0"/>
            </w:tcBorders>
            <w:vAlign w:val="center"/>
          </w:tcPr>
          <w:p w14:paraId="1730B3F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四方评价</w:t>
            </w:r>
          </w:p>
        </w:tc>
        <w:tc>
          <w:tcPr>
            <w:tcW w:w="6625" w:type="dxa"/>
            <w:tcBorders>
              <w:top w:val="single" w:color="auto" w:sz="8" w:space="0"/>
              <w:left w:val="single" w:color="auto" w:sz="8" w:space="0"/>
              <w:bottom w:val="single" w:color="auto" w:sz="8" w:space="0"/>
              <w:right w:val="single" w:color="auto" w:sz="18" w:space="0"/>
            </w:tcBorders>
            <w:vAlign w:val="center"/>
          </w:tcPr>
          <w:p w14:paraId="322E0E7B">
            <w:pPr>
              <w:spacing w:line="360" w:lineRule="auto"/>
              <w:jc w:val="lef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   </w:t>
            </w:r>
            <w:r>
              <w:rPr>
                <w:rFonts w:hint="eastAsia" w:asciiTheme="minorEastAsia" w:hAnsiTheme="minorEastAsia" w:eastAsiaTheme="minorEastAsia" w:cstheme="minorEastAsia"/>
                <w:bCs/>
                <w:sz w:val="21"/>
                <w:szCs w:val="21"/>
              </w:rPr>
              <w:t>根据《平顶山市财政局关于实行政府采购项目四方评价的通知》要求，自2023年起，我市所有政府采购项目实行信用评价。采购人、采购代理机构、评审专家、供应商在“评标结束</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履约验收”后通过平顶山市政府采购网-评价管理</w:t>
            </w:r>
            <w:r>
              <w:rPr>
                <w:rFonts w:hint="eastAsia" w:asciiTheme="minorEastAsia" w:hAnsiTheme="minorEastAsia" w:eastAsiaTheme="minorEastAsia" w:cstheme="minorEastAsia"/>
                <w:bCs/>
                <w:sz w:val="21"/>
                <w:szCs w:val="21"/>
                <w:lang w:eastAsia="zh-CN"/>
              </w:rPr>
              <w:t>－</w:t>
            </w:r>
            <w:r>
              <w:rPr>
                <w:rFonts w:hint="eastAsia" w:asciiTheme="minorEastAsia" w:hAnsiTheme="minorEastAsia" w:eastAsiaTheme="minorEastAsia" w:cstheme="minorEastAsia"/>
                <w:bCs/>
                <w:sz w:val="21"/>
                <w:szCs w:val="21"/>
              </w:rPr>
              <w:t>信用评价模块进行评价，供应商应在合同备案前注册政府采购网账号。</w:t>
            </w:r>
          </w:p>
          <w:p w14:paraId="1290B8A8">
            <w:pPr>
              <w:spacing w:line="360" w:lineRule="auto"/>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各相关单位及个人须按照下表时间节点，及时在政府采购网上进行评价：</w:t>
            </w:r>
          </w:p>
          <w:tbl>
            <w:tblPr>
              <w:tblStyle w:val="29"/>
              <w:tblW w:w="66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1701"/>
              <w:gridCol w:w="1418"/>
              <w:gridCol w:w="2131"/>
            </w:tblGrid>
            <w:tr w14:paraId="0C46E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667" w:type="dxa"/>
                  <w:gridSpan w:val="4"/>
                  <w:noWrap/>
                  <w:vAlign w:val="center"/>
                </w:tcPr>
                <w:p w14:paraId="656102A0">
                  <w:pPr>
                    <w:widowControl/>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四方评价时间节点</w:t>
                  </w:r>
                </w:p>
              </w:tc>
            </w:tr>
            <w:tr w14:paraId="10064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noWrap/>
                  <w:vAlign w:val="center"/>
                </w:tcPr>
                <w:p w14:paraId="797F493B">
                  <w:pPr>
                    <w:widowControl/>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评价主体</w:t>
                  </w:r>
                </w:p>
              </w:tc>
              <w:tc>
                <w:tcPr>
                  <w:tcW w:w="1701" w:type="dxa"/>
                  <w:noWrap/>
                  <w:vAlign w:val="center"/>
                </w:tcPr>
                <w:p w14:paraId="74E19728">
                  <w:pPr>
                    <w:widowControl/>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被评价主体</w:t>
                  </w:r>
                </w:p>
              </w:tc>
              <w:tc>
                <w:tcPr>
                  <w:tcW w:w="1418" w:type="dxa"/>
                  <w:noWrap/>
                  <w:vAlign w:val="center"/>
                </w:tcPr>
                <w:p w14:paraId="50FF6BCD">
                  <w:pPr>
                    <w:widowControl/>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评价环节</w:t>
                  </w:r>
                </w:p>
              </w:tc>
              <w:tc>
                <w:tcPr>
                  <w:tcW w:w="2131" w:type="dxa"/>
                  <w:noWrap/>
                  <w:vAlign w:val="center"/>
                </w:tcPr>
                <w:p w14:paraId="23000058">
                  <w:pPr>
                    <w:widowControl/>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评价节点</w:t>
                  </w:r>
                </w:p>
              </w:tc>
            </w:tr>
            <w:tr w14:paraId="7EC56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restart"/>
                  <w:noWrap/>
                  <w:vAlign w:val="center"/>
                </w:tcPr>
                <w:p w14:paraId="31569004">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采购人</w:t>
                  </w:r>
                </w:p>
              </w:tc>
              <w:tc>
                <w:tcPr>
                  <w:tcW w:w="1701" w:type="dxa"/>
                  <w:noWrap/>
                  <w:vAlign w:val="center"/>
                </w:tcPr>
                <w:p w14:paraId="22EE1500">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供应商</w:t>
                  </w:r>
                </w:p>
              </w:tc>
              <w:tc>
                <w:tcPr>
                  <w:tcW w:w="1418" w:type="dxa"/>
                  <w:noWrap/>
                  <w:vAlign w:val="center"/>
                </w:tcPr>
                <w:p w14:paraId="4590ECB2">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履约验收</w:t>
                  </w:r>
                </w:p>
              </w:tc>
              <w:tc>
                <w:tcPr>
                  <w:tcW w:w="2131" w:type="dxa"/>
                  <w:noWrap/>
                  <w:vAlign w:val="center"/>
                </w:tcPr>
                <w:p w14:paraId="5E66058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39245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continue"/>
                  <w:vAlign w:val="center"/>
                </w:tcPr>
                <w:p w14:paraId="4F41A266">
                  <w:pPr>
                    <w:widowControl/>
                    <w:spacing w:line="360" w:lineRule="auto"/>
                    <w:jc w:val="left"/>
                    <w:rPr>
                      <w:rFonts w:hint="eastAsia" w:asciiTheme="minorEastAsia" w:hAnsiTheme="minorEastAsia" w:eastAsiaTheme="minorEastAsia" w:cstheme="minorEastAsia"/>
                      <w:kern w:val="0"/>
                      <w:sz w:val="21"/>
                      <w:szCs w:val="21"/>
                    </w:rPr>
                  </w:pPr>
                </w:p>
              </w:tc>
              <w:tc>
                <w:tcPr>
                  <w:tcW w:w="1701" w:type="dxa"/>
                  <w:noWrap/>
                  <w:vAlign w:val="center"/>
                </w:tcPr>
                <w:p w14:paraId="6A298F1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评审专家</w:t>
                  </w:r>
                </w:p>
              </w:tc>
              <w:tc>
                <w:tcPr>
                  <w:tcW w:w="1418" w:type="dxa"/>
                  <w:noWrap/>
                  <w:vAlign w:val="center"/>
                </w:tcPr>
                <w:p w14:paraId="48507411">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评标结束</w:t>
                  </w:r>
                </w:p>
              </w:tc>
              <w:tc>
                <w:tcPr>
                  <w:tcW w:w="2131" w:type="dxa"/>
                  <w:noWrap/>
                  <w:vAlign w:val="center"/>
                </w:tcPr>
                <w:p w14:paraId="429B2D80">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77F2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continue"/>
                  <w:vAlign w:val="center"/>
                </w:tcPr>
                <w:p w14:paraId="26EBD7E0">
                  <w:pPr>
                    <w:widowControl/>
                    <w:spacing w:line="360" w:lineRule="auto"/>
                    <w:jc w:val="left"/>
                    <w:rPr>
                      <w:rFonts w:hint="eastAsia" w:asciiTheme="minorEastAsia" w:hAnsiTheme="minorEastAsia" w:eastAsiaTheme="minorEastAsia" w:cstheme="minorEastAsia"/>
                      <w:kern w:val="0"/>
                      <w:sz w:val="21"/>
                      <w:szCs w:val="21"/>
                    </w:rPr>
                  </w:pPr>
                </w:p>
              </w:tc>
              <w:tc>
                <w:tcPr>
                  <w:tcW w:w="1701" w:type="dxa"/>
                  <w:noWrap/>
                  <w:vAlign w:val="center"/>
                </w:tcPr>
                <w:p w14:paraId="31A2F76E">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代理机构</w:t>
                  </w:r>
                </w:p>
              </w:tc>
              <w:tc>
                <w:tcPr>
                  <w:tcW w:w="1418" w:type="dxa"/>
                  <w:noWrap/>
                  <w:vAlign w:val="center"/>
                </w:tcPr>
                <w:p w14:paraId="2BBEE631">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评标结束</w:t>
                  </w:r>
                </w:p>
              </w:tc>
              <w:tc>
                <w:tcPr>
                  <w:tcW w:w="2131" w:type="dxa"/>
                  <w:noWrap/>
                  <w:vAlign w:val="center"/>
                </w:tcPr>
                <w:p w14:paraId="790CDEBE">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37A8A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restart"/>
                  <w:noWrap/>
                  <w:vAlign w:val="center"/>
                </w:tcPr>
                <w:p w14:paraId="18F46482">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供应商</w:t>
                  </w:r>
                </w:p>
              </w:tc>
              <w:tc>
                <w:tcPr>
                  <w:tcW w:w="1701" w:type="dxa"/>
                  <w:noWrap/>
                  <w:vAlign w:val="center"/>
                </w:tcPr>
                <w:p w14:paraId="0662C808">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采购人</w:t>
                  </w:r>
                </w:p>
              </w:tc>
              <w:tc>
                <w:tcPr>
                  <w:tcW w:w="1418" w:type="dxa"/>
                  <w:noWrap/>
                  <w:vAlign w:val="center"/>
                </w:tcPr>
                <w:p w14:paraId="021C74E5">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履约验收</w:t>
                  </w:r>
                </w:p>
              </w:tc>
              <w:tc>
                <w:tcPr>
                  <w:tcW w:w="2131" w:type="dxa"/>
                  <w:noWrap/>
                  <w:vAlign w:val="center"/>
                </w:tcPr>
                <w:p w14:paraId="21636962">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168D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continue"/>
                  <w:vAlign w:val="center"/>
                </w:tcPr>
                <w:p w14:paraId="12D4F305">
                  <w:pPr>
                    <w:widowControl/>
                    <w:spacing w:line="360" w:lineRule="auto"/>
                    <w:jc w:val="left"/>
                    <w:rPr>
                      <w:rFonts w:hint="eastAsia" w:asciiTheme="minorEastAsia" w:hAnsiTheme="minorEastAsia" w:eastAsiaTheme="minorEastAsia" w:cstheme="minorEastAsia"/>
                      <w:kern w:val="0"/>
                      <w:sz w:val="21"/>
                      <w:szCs w:val="21"/>
                    </w:rPr>
                  </w:pPr>
                </w:p>
              </w:tc>
              <w:tc>
                <w:tcPr>
                  <w:tcW w:w="1701" w:type="dxa"/>
                  <w:noWrap/>
                  <w:vAlign w:val="center"/>
                </w:tcPr>
                <w:p w14:paraId="1F3732B3">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代理机构</w:t>
                  </w:r>
                </w:p>
              </w:tc>
              <w:tc>
                <w:tcPr>
                  <w:tcW w:w="1418" w:type="dxa"/>
                  <w:noWrap/>
                  <w:vAlign w:val="center"/>
                </w:tcPr>
                <w:p w14:paraId="429BFB26">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履约验收</w:t>
                  </w:r>
                </w:p>
              </w:tc>
              <w:tc>
                <w:tcPr>
                  <w:tcW w:w="2131" w:type="dxa"/>
                  <w:noWrap/>
                  <w:vAlign w:val="center"/>
                </w:tcPr>
                <w:p w14:paraId="6BB3B1B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3F1C0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noWrap/>
                  <w:vAlign w:val="center"/>
                </w:tcPr>
                <w:p w14:paraId="2185483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代理机构</w:t>
                  </w:r>
                </w:p>
              </w:tc>
              <w:tc>
                <w:tcPr>
                  <w:tcW w:w="1701" w:type="dxa"/>
                  <w:noWrap/>
                  <w:vAlign w:val="center"/>
                </w:tcPr>
                <w:p w14:paraId="765D5F6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评审专家</w:t>
                  </w:r>
                </w:p>
              </w:tc>
              <w:tc>
                <w:tcPr>
                  <w:tcW w:w="1418" w:type="dxa"/>
                  <w:noWrap/>
                  <w:vAlign w:val="center"/>
                </w:tcPr>
                <w:p w14:paraId="253A5758">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评标结束</w:t>
                  </w:r>
                </w:p>
              </w:tc>
              <w:tc>
                <w:tcPr>
                  <w:tcW w:w="2131" w:type="dxa"/>
                  <w:noWrap/>
                  <w:vAlign w:val="center"/>
                </w:tcPr>
                <w:p w14:paraId="1BD40576">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5D295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noWrap/>
                  <w:vAlign w:val="center"/>
                </w:tcPr>
                <w:p w14:paraId="72EE8AF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评审专家</w:t>
                  </w:r>
                </w:p>
              </w:tc>
              <w:tc>
                <w:tcPr>
                  <w:tcW w:w="1701" w:type="dxa"/>
                  <w:noWrap/>
                  <w:vAlign w:val="center"/>
                </w:tcPr>
                <w:p w14:paraId="019D8BE1">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代理机构</w:t>
                  </w:r>
                </w:p>
              </w:tc>
              <w:tc>
                <w:tcPr>
                  <w:tcW w:w="1418" w:type="dxa"/>
                  <w:noWrap/>
                  <w:vAlign w:val="center"/>
                </w:tcPr>
                <w:p w14:paraId="760EF946">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评标结束</w:t>
                  </w:r>
                </w:p>
              </w:tc>
              <w:tc>
                <w:tcPr>
                  <w:tcW w:w="2131" w:type="dxa"/>
                  <w:noWrap/>
                  <w:vAlign w:val="center"/>
                </w:tcPr>
                <w:p w14:paraId="350187DB">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bl>
          <w:p w14:paraId="42C2F755">
            <w:pPr>
              <w:spacing w:line="360" w:lineRule="auto"/>
              <w:jc w:val="center"/>
              <w:rPr>
                <w:rFonts w:hint="eastAsia" w:asciiTheme="minorEastAsia" w:hAnsiTheme="minorEastAsia" w:eastAsiaTheme="minorEastAsia" w:cstheme="minorEastAsia"/>
                <w:sz w:val="21"/>
                <w:szCs w:val="21"/>
              </w:rPr>
            </w:pPr>
          </w:p>
        </w:tc>
      </w:tr>
    </w:tbl>
    <w:p w14:paraId="46F7E772">
      <w:pPr>
        <w:rPr>
          <w:rFonts w:ascii="宋体" w:hAnsi="宋体" w:cs="宋体"/>
        </w:rPr>
      </w:pPr>
    </w:p>
    <w:p w14:paraId="548F65B4">
      <w:pPr>
        <w:rPr>
          <w:rFonts w:ascii="宋体" w:hAnsi="宋体" w:cs="宋体"/>
        </w:rPr>
      </w:pPr>
      <w:r>
        <w:rPr>
          <w:rFonts w:hint="eastAsia" w:ascii="宋体" w:hAnsi="宋体" w:cs="宋体"/>
        </w:rPr>
        <w:br w:type="page"/>
      </w:r>
    </w:p>
    <w:p w14:paraId="27DE76ED">
      <w:pPr>
        <w:pStyle w:val="5"/>
        <w:spacing w:line="380" w:lineRule="exact"/>
        <w:ind w:firstLine="422"/>
        <w:jc w:val="center"/>
        <w:rPr>
          <w:rFonts w:ascii="宋体" w:hAnsi="宋体" w:cs="宋体"/>
          <w:sz w:val="21"/>
          <w:szCs w:val="21"/>
        </w:rPr>
      </w:pPr>
      <w:bookmarkStart w:id="104" w:name="_Toc17769"/>
      <w:bookmarkStart w:id="105" w:name="_Toc26109"/>
      <w:r>
        <w:rPr>
          <w:rFonts w:hint="eastAsia" w:ascii="宋体" w:hAnsi="宋体" w:cs="宋体"/>
          <w:sz w:val="21"/>
          <w:szCs w:val="21"/>
          <w:lang w:val="zh-CN"/>
        </w:rPr>
        <w:t>一、说明</w:t>
      </w:r>
      <w:bookmarkEnd w:id="6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07DEDA39">
      <w:pPr>
        <w:spacing w:line="360" w:lineRule="auto"/>
        <w:outlineLvl w:val="2"/>
        <w:rPr>
          <w:rFonts w:ascii="宋体" w:hAnsi="宋体" w:cs="宋体"/>
          <w:b/>
          <w:bCs/>
          <w:sz w:val="21"/>
          <w:szCs w:val="21"/>
          <w:lang w:val="zh-CN"/>
        </w:rPr>
      </w:pPr>
      <w:bookmarkStart w:id="106" w:name="_Toc31700"/>
      <w:bookmarkStart w:id="107" w:name="_Toc6591"/>
      <w:bookmarkStart w:id="108" w:name="_Toc9907"/>
      <w:bookmarkStart w:id="109" w:name="_Toc10740"/>
      <w:bookmarkStart w:id="110" w:name="_Toc8777"/>
      <w:bookmarkStart w:id="111" w:name="_Toc16432"/>
      <w:bookmarkStart w:id="112" w:name="_Toc21575"/>
      <w:bookmarkStart w:id="113" w:name="_Toc3417"/>
      <w:bookmarkStart w:id="114" w:name="_Toc4447"/>
      <w:bookmarkStart w:id="115" w:name="_Toc24335"/>
      <w:bookmarkStart w:id="116" w:name="_Toc17902"/>
      <w:bookmarkStart w:id="117" w:name="_Toc10656"/>
      <w:bookmarkStart w:id="118" w:name="_Toc9076"/>
      <w:bookmarkStart w:id="119" w:name="_Toc11619"/>
      <w:bookmarkStart w:id="120" w:name="_Toc9502"/>
      <w:bookmarkStart w:id="121" w:name="_Toc18908_WPSOffice_Level3"/>
      <w:bookmarkStart w:id="122" w:name="_Toc6045"/>
      <w:bookmarkStart w:id="123" w:name="_Toc8376"/>
      <w:bookmarkStart w:id="124" w:name="_Toc1139"/>
      <w:bookmarkStart w:id="125" w:name="_Toc32418"/>
      <w:bookmarkStart w:id="126" w:name="_Toc11323"/>
      <w:r>
        <w:rPr>
          <w:rFonts w:hint="eastAsia" w:ascii="宋体" w:hAnsi="宋体" w:cs="宋体"/>
          <w:b/>
          <w:bCs/>
          <w:sz w:val="21"/>
          <w:szCs w:val="21"/>
          <w:lang w:val="zh-CN"/>
        </w:rPr>
        <w:t>1.适用范围</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DDA3B6D">
      <w:pPr>
        <w:autoSpaceDE w:val="0"/>
        <w:autoSpaceDN w:val="0"/>
        <w:spacing w:line="360" w:lineRule="auto"/>
        <w:ind w:firstLine="315" w:firstLineChars="150"/>
        <w:rPr>
          <w:rFonts w:ascii="宋体" w:hAnsi="宋体" w:cs="宋体"/>
          <w:kern w:val="0"/>
          <w:sz w:val="21"/>
          <w:szCs w:val="21"/>
          <w:lang w:val="zh-CN"/>
        </w:rPr>
      </w:pPr>
      <w:r>
        <w:rPr>
          <w:rFonts w:hint="eastAsia" w:ascii="宋体" w:hAnsi="宋体" w:cs="宋体"/>
          <w:kern w:val="0"/>
          <w:sz w:val="21"/>
          <w:szCs w:val="21"/>
          <w:lang w:val="zh-CN"/>
        </w:rPr>
        <w:t>本次招标依据采购人的采购计划，仅适用于本招标文件中所叙述的项目。</w:t>
      </w:r>
    </w:p>
    <w:p w14:paraId="7FB63EA8">
      <w:pPr>
        <w:spacing w:line="360" w:lineRule="auto"/>
        <w:outlineLvl w:val="2"/>
        <w:rPr>
          <w:rFonts w:ascii="宋体" w:hAnsi="宋体" w:cs="宋体"/>
          <w:b/>
          <w:bCs/>
          <w:sz w:val="21"/>
          <w:szCs w:val="21"/>
          <w:lang w:val="zh-CN"/>
        </w:rPr>
      </w:pPr>
      <w:bookmarkStart w:id="127" w:name="_Toc30283"/>
      <w:bookmarkStart w:id="128" w:name="_Toc19003"/>
      <w:bookmarkStart w:id="129" w:name="_Toc21249"/>
      <w:bookmarkStart w:id="130" w:name="_Toc4820"/>
      <w:bookmarkStart w:id="131" w:name="_Toc13792"/>
      <w:bookmarkStart w:id="132" w:name="_Toc1089"/>
      <w:bookmarkStart w:id="133" w:name="_Toc5930"/>
      <w:bookmarkStart w:id="134" w:name="_Toc8078"/>
      <w:bookmarkStart w:id="135" w:name="_Toc16982"/>
      <w:bookmarkStart w:id="136" w:name="_Toc29786_WPSOffice_Level3"/>
      <w:bookmarkStart w:id="137" w:name="_Toc5763"/>
      <w:bookmarkStart w:id="138" w:name="_Toc31397"/>
      <w:bookmarkStart w:id="139" w:name="_Toc17713"/>
      <w:bookmarkStart w:id="140" w:name="_Toc3178"/>
      <w:bookmarkStart w:id="141" w:name="_Toc6638"/>
      <w:bookmarkStart w:id="142" w:name="_Toc31423"/>
      <w:bookmarkStart w:id="143" w:name="_Toc8646"/>
      <w:bookmarkStart w:id="144" w:name="_Toc3119"/>
      <w:bookmarkStart w:id="145" w:name="_Toc19867"/>
      <w:bookmarkStart w:id="146" w:name="_Toc3334"/>
      <w:bookmarkStart w:id="147" w:name="_Toc11985"/>
      <w:r>
        <w:rPr>
          <w:rFonts w:hint="eastAsia" w:ascii="宋体" w:hAnsi="宋体" w:cs="宋体"/>
          <w:b/>
          <w:bCs/>
          <w:sz w:val="21"/>
          <w:szCs w:val="21"/>
          <w:lang w:val="zh-CN"/>
        </w:rPr>
        <w:t>2.采购方式、合格的投标人</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0D515B62">
      <w:pPr>
        <w:autoSpaceDE w:val="0"/>
        <w:autoSpaceDN w:val="0"/>
        <w:spacing w:line="360" w:lineRule="auto"/>
        <w:ind w:firstLine="315" w:firstLineChars="150"/>
        <w:rPr>
          <w:rFonts w:ascii="宋体" w:hAnsi="宋体" w:cs="宋体"/>
          <w:b/>
          <w:bCs/>
          <w:kern w:val="0"/>
          <w:sz w:val="21"/>
          <w:szCs w:val="21"/>
          <w:lang w:val="zh-CN"/>
        </w:rPr>
      </w:pPr>
      <w:r>
        <w:rPr>
          <w:rFonts w:hint="eastAsia" w:ascii="宋体" w:hAnsi="宋体" w:cs="宋体"/>
          <w:kern w:val="0"/>
          <w:sz w:val="21"/>
          <w:szCs w:val="21"/>
          <w:lang w:val="zh-CN"/>
        </w:rPr>
        <w:t>2.1</w:t>
      </w:r>
      <w:r>
        <w:rPr>
          <w:rFonts w:hint="eastAsia" w:ascii="宋体" w:hAnsi="宋体" w:cs="宋体"/>
          <w:kern w:val="0"/>
          <w:sz w:val="21"/>
          <w:szCs w:val="21"/>
        </w:rPr>
        <w:t xml:space="preserve"> </w:t>
      </w:r>
      <w:r>
        <w:rPr>
          <w:rFonts w:hint="eastAsia" w:ascii="宋体" w:hAnsi="宋体" w:cs="宋体"/>
          <w:kern w:val="0"/>
          <w:sz w:val="21"/>
          <w:szCs w:val="21"/>
          <w:lang w:val="zh-CN"/>
        </w:rPr>
        <w:t>本次招标采取公开招标方式。</w:t>
      </w:r>
    </w:p>
    <w:p w14:paraId="5A71579F">
      <w:pPr>
        <w:autoSpaceDE w:val="0"/>
        <w:autoSpaceDN w:val="0"/>
        <w:spacing w:line="360" w:lineRule="auto"/>
        <w:ind w:firstLine="315" w:firstLineChars="150"/>
        <w:rPr>
          <w:rFonts w:ascii="宋体" w:hAnsi="宋体" w:cs="宋体"/>
          <w:kern w:val="0"/>
          <w:sz w:val="21"/>
          <w:szCs w:val="21"/>
          <w:lang w:val="zh-CN"/>
        </w:rPr>
      </w:pPr>
      <w:r>
        <w:rPr>
          <w:rFonts w:hint="eastAsia" w:ascii="宋体" w:hAnsi="宋体" w:cs="宋体"/>
          <w:kern w:val="0"/>
          <w:sz w:val="21"/>
          <w:szCs w:val="21"/>
          <w:lang w:val="zh-CN"/>
        </w:rPr>
        <w:t>2.2 合格的投标人（</w:t>
      </w:r>
      <w:r>
        <w:rPr>
          <w:rFonts w:hint="eastAsia" w:ascii="宋体" w:hAnsi="宋体" w:cs="宋体"/>
          <w:kern w:val="0"/>
          <w:sz w:val="21"/>
          <w:szCs w:val="21"/>
          <w:lang w:val="en-US" w:eastAsia="zh-CN"/>
        </w:rPr>
        <w:t>供应商</w:t>
      </w:r>
      <w:r>
        <w:rPr>
          <w:rFonts w:hint="eastAsia" w:ascii="宋体" w:hAnsi="宋体" w:cs="宋体"/>
          <w:kern w:val="0"/>
          <w:sz w:val="21"/>
          <w:szCs w:val="21"/>
          <w:lang w:val="zh-CN"/>
        </w:rPr>
        <w:t>）：符合“招标公告中供应商资格要求”的条件</w:t>
      </w:r>
      <w:bookmarkStart w:id="148" w:name="_Toc31475"/>
      <w:bookmarkStart w:id="149" w:name="_Toc11015"/>
      <w:bookmarkStart w:id="150" w:name="_Toc24748"/>
      <w:bookmarkStart w:id="151" w:name="_Toc15673"/>
      <w:bookmarkStart w:id="152" w:name="_Toc24184"/>
      <w:bookmarkStart w:id="153" w:name="_Toc24353"/>
      <w:bookmarkStart w:id="154" w:name="_Toc18802_WPSOffice_Level2"/>
      <w:bookmarkStart w:id="155" w:name="_Toc866"/>
      <w:bookmarkStart w:id="156" w:name="_Toc32337"/>
      <w:bookmarkStart w:id="157" w:name="_Toc14801"/>
      <w:bookmarkStart w:id="158" w:name="_Toc25082"/>
      <w:bookmarkStart w:id="159" w:name="_Toc13692"/>
      <w:bookmarkStart w:id="160" w:name="_Toc6510"/>
      <w:bookmarkStart w:id="161" w:name="_Toc22479"/>
      <w:bookmarkStart w:id="162" w:name="_Toc26087"/>
      <w:bookmarkStart w:id="163" w:name="_Toc6562"/>
      <w:bookmarkStart w:id="164" w:name="_Toc25626"/>
      <w:bookmarkStart w:id="165" w:name="_Toc27894"/>
      <w:bookmarkStart w:id="166" w:name="_Toc14885"/>
      <w:bookmarkStart w:id="167" w:name="_Toc9320_WPSOffice_Level2"/>
      <w:bookmarkStart w:id="168" w:name="_Toc8886"/>
      <w:bookmarkStart w:id="169" w:name="_Toc22141"/>
    </w:p>
    <w:p w14:paraId="5582F824">
      <w:pPr>
        <w:spacing w:line="360" w:lineRule="auto"/>
        <w:outlineLvl w:val="2"/>
        <w:rPr>
          <w:rFonts w:ascii="宋体" w:hAnsi="宋体" w:cs="宋体"/>
          <w:b/>
          <w:bCs/>
          <w:sz w:val="21"/>
          <w:szCs w:val="21"/>
          <w:lang w:val="zh-CN"/>
        </w:rPr>
      </w:pPr>
      <w:bookmarkStart w:id="170" w:name="_Toc9679"/>
      <w:bookmarkStart w:id="171" w:name="_Toc29125"/>
      <w:r>
        <w:rPr>
          <w:rFonts w:hint="eastAsia" w:ascii="宋体" w:hAnsi="宋体" w:cs="宋体"/>
          <w:b/>
          <w:bCs/>
          <w:sz w:val="21"/>
          <w:szCs w:val="21"/>
          <w:lang w:val="zh-CN"/>
        </w:rPr>
        <w:t>3</w:t>
      </w:r>
      <w:r>
        <w:rPr>
          <w:rFonts w:hint="eastAsia" w:ascii="宋体" w:hAnsi="宋体" w:cs="宋体"/>
          <w:b/>
          <w:bCs/>
          <w:sz w:val="21"/>
          <w:szCs w:val="21"/>
          <w:lang w:val="en-US" w:eastAsia="zh-CN"/>
        </w:rPr>
        <w:t>.</w:t>
      </w:r>
      <w:r>
        <w:rPr>
          <w:rFonts w:hint="eastAsia" w:ascii="宋体" w:hAnsi="宋体" w:cs="宋体"/>
          <w:b/>
          <w:bCs/>
          <w:sz w:val="21"/>
          <w:szCs w:val="21"/>
          <w:lang w:val="zh-CN"/>
        </w:rPr>
        <w:t>投标费用</w:t>
      </w:r>
      <w:bookmarkEnd w:id="170"/>
      <w:bookmarkEnd w:id="171"/>
    </w:p>
    <w:p w14:paraId="00C281EC">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投标人应自愿承担与参加本次投标有关的费用。采购代理机构对投标人发生的费用不承担任何责任。</w:t>
      </w:r>
    </w:p>
    <w:p w14:paraId="44E5D572">
      <w:pPr>
        <w:pStyle w:val="5"/>
        <w:spacing w:line="380" w:lineRule="exact"/>
        <w:ind w:firstLine="422"/>
        <w:jc w:val="center"/>
        <w:rPr>
          <w:rFonts w:ascii="宋体" w:hAnsi="宋体" w:cs="宋体"/>
          <w:sz w:val="21"/>
          <w:szCs w:val="21"/>
          <w:lang w:val="zh-CN"/>
        </w:rPr>
      </w:pPr>
      <w:bookmarkStart w:id="172" w:name="_Toc16954"/>
      <w:bookmarkStart w:id="173" w:name="_Toc841"/>
      <w:r>
        <w:rPr>
          <w:rFonts w:hint="eastAsia" w:ascii="宋体" w:hAnsi="宋体" w:cs="宋体"/>
          <w:sz w:val="21"/>
          <w:szCs w:val="21"/>
          <w:lang w:val="zh-CN"/>
        </w:rPr>
        <w:t>二、招标文件说明</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2"/>
      <w:bookmarkEnd w:id="173"/>
    </w:p>
    <w:p w14:paraId="18870EC2">
      <w:pPr>
        <w:spacing w:line="360" w:lineRule="auto"/>
        <w:outlineLvl w:val="2"/>
        <w:rPr>
          <w:rFonts w:ascii="宋体" w:hAnsi="宋体" w:cs="宋体"/>
          <w:b/>
          <w:bCs/>
          <w:sz w:val="21"/>
          <w:szCs w:val="21"/>
          <w:lang w:val="zh-CN"/>
        </w:rPr>
      </w:pPr>
      <w:bookmarkStart w:id="174" w:name="_Toc10673"/>
      <w:bookmarkStart w:id="175" w:name="_Toc1369"/>
      <w:bookmarkStart w:id="176" w:name="_Toc2524"/>
      <w:bookmarkStart w:id="177" w:name="_Toc28328"/>
      <w:bookmarkStart w:id="178" w:name="_Toc5542"/>
      <w:bookmarkStart w:id="179" w:name="_Toc28740"/>
      <w:bookmarkStart w:id="180" w:name="_Toc15493_WPSOffice_Level3"/>
      <w:bookmarkStart w:id="181" w:name="_Toc22581"/>
      <w:bookmarkStart w:id="182" w:name="_Toc2503"/>
      <w:bookmarkStart w:id="183" w:name="_Toc6805"/>
      <w:bookmarkStart w:id="184" w:name="_Toc5009"/>
      <w:bookmarkStart w:id="185" w:name="_Toc30613"/>
      <w:bookmarkStart w:id="186" w:name="_Toc9050"/>
      <w:bookmarkStart w:id="187" w:name="_Toc12843"/>
      <w:bookmarkStart w:id="188" w:name="_Toc1582"/>
      <w:bookmarkStart w:id="189" w:name="_Toc5330"/>
      <w:bookmarkStart w:id="190" w:name="_Toc2219"/>
      <w:bookmarkStart w:id="191" w:name="_Toc17828"/>
      <w:bookmarkStart w:id="192" w:name="_Toc55"/>
      <w:bookmarkStart w:id="193" w:name="_Toc772"/>
      <w:bookmarkStart w:id="194" w:name="_Toc28802"/>
      <w:r>
        <w:rPr>
          <w:rFonts w:hint="eastAsia" w:ascii="宋体" w:hAnsi="宋体" w:cs="宋体"/>
          <w:b/>
          <w:bCs/>
          <w:sz w:val="21"/>
          <w:szCs w:val="21"/>
          <w:lang w:val="zh-CN"/>
        </w:rPr>
        <w:t>4.招标文件的构成</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540F57F1">
      <w:pPr>
        <w:autoSpaceDE w:val="0"/>
        <w:autoSpaceDN w:val="0"/>
        <w:spacing w:line="360" w:lineRule="auto"/>
        <w:ind w:firstLine="315" w:firstLineChars="150"/>
        <w:rPr>
          <w:rFonts w:ascii="宋体" w:hAnsi="宋体" w:cs="宋体"/>
          <w:kern w:val="0"/>
          <w:sz w:val="21"/>
          <w:szCs w:val="21"/>
          <w:lang w:val="zh-CN"/>
        </w:rPr>
      </w:pPr>
      <w:r>
        <w:rPr>
          <w:rFonts w:hint="eastAsia" w:ascii="宋体" w:hAnsi="宋体" w:cs="宋体"/>
          <w:kern w:val="0"/>
          <w:sz w:val="21"/>
          <w:szCs w:val="21"/>
          <w:lang w:val="zh-CN"/>
        </w:rPr>
        <w:t>4.1</w:t>
      </w:r>
      <w:r>
        <w:rPr>
          <w:rFonts w:hint="eastAsia" w:ascii="宋体" w:hAnsi="宋体" w:cs="宋体"/>
          <w:kern w:val="0"/>
          <w:sz w:val="21"/>
          <w:szCs w:val="21"/>
        </w:rPr>
        <w:t xml:space="preserve"> </w:t>
      </w:r>
      <w:r>
        <w:rPr>
          <w:rFonts w:hint="eastAsia" w:ascii="宋体" w:hAnsi="宋体" w:cs="宋体"/>
          <w:kern w:val="0"/>
          <w:sz w:val="21"/>
          <w:szCs w:val="21"/>
          <w:lang w:val="zh-CN"/>
        </w:rPr>
        <w:t>招标文件包括：</w:t>
      </w:r>
    </w:p>
    <w:p w14:paraId="116B9BAC">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第一部分 招标公告；</w:t>
      </w:r>
    </w:p>
    <w:p w14:paraId="3257D08D">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第二部分 投标人须知；</w:t>
      </w:r>
    </w:p>
    <w:p w14:paraId="003BFF7E">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第三部分 合同条款；</w:t>
      </w:r>
    </w:p>
    <w:p w14:paraId="65181D3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 xml:space="preserve">第四部分 投标文件格式； </w:t>
      </w:r>
    </w:p>
    <w:p w14:paraId="6F0C296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 xml:space="preserve">第五部分 </w:t>
      </w:r>
      <w:r>
        <w:rPr>
          <w:rFonts w:hint="eastAsia" w:ascii="宋体" w:hAnsi="宋体" w:cs="宋体"/>
          <w:kern w:val="0"/>
          <w:sz w:val="21"/>
          <w:szCs w:val="21"/>
          <w:lang w:val="en-US" w:eastAsia="zh-CN"/>
        </w:rPr>
        <w:t>采购内容</w:t>
      </w:r>
      <w:r>
        <w:rPr>
          <w:rFonts w:hint="eastAsia" w:ascii="宋体" w:hAnsi="宋体" w:cs="宋体"/>
          <w:kern w:val="0"/>
          <w:sz w:val="21"/>
          <w:szCs w:val="21"/>
          <w:lang w:val="zh-CN"/>
        </w:rPr>
        <w:t>及技术参数</w:t>
      </w:r>
      <w:r>
        <w:rPr>
          <w:rFonts w:hint="eastAsia" w:ascii="宋体" w:hAnsi="宋体" w:cs="宋体"/>
          <w:kern w:val="0"/>
          <w:sz w:val="21"/>
          <w:szCs w:val="21"/>
          <w:lang w:val="en-US" w:eastAsia="zh-CN"/>
        </w:rPr>
        <w:t>要求</w:t>
      </w:r>
      <w:r>
        <w:rPr>
          <w:rFonts w:hint="eastAsia" w:ascii="宋体" w:hAnsi="宋体" w:cs="宋体"/>
          <w:kern w:val="0"/>
          <w:sz w:val="21"/>
          <w:szCs w:val="21"/>
          <w:lang w:val="zh-CN"/>
        </w:rPr>
        <w:t xml:space="preserve">。 </w:t>
      </w:r>
    </w:p>
    <w:p w14:paraId="6985C7A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 xml:space="preserve">4.2 </w:t>
      </w:r>
      <w:r>
        <w:rPr>
          <w:rFonts w:hint="eastAsia" w:ascii="宋体" w:hAnsi="宋体" w:cs="宋体"/>
          <w:kern w:val="0"/>
          <w:sz w:val="21"/>
          <w:szCs w:val="21"/>
        </w:rPr>
        <w:t>投标人应当按照招标文件的要求编制投标文件。投标文件应当对招标文件提出的要求和条件作出准确响应。</w:t>
      </w:r>
    </w:p>
    <w:p w14:paraId="44C5A807">
      <w:pPr>
        <w:spacing w:line="360" w:lineRule="auto"/>
        <w:outlineLvl w:val="2"/>
        <w:rPr>
          <w:rFonts w:ascii="宋体" w:hAnsi="宋体" w:cs="宋体"/>
          <w:b/>
          <w:bCs/>
          <w:sz w:val="21"/>
          <w:szCs w:val="21"/>
          <w:lang w:val="zh-CN"/>
        </w:rPr>
      </w:pPr>
      <w:bookmarkStart w:id="195" w:name="_Toc4804"/>
      <w:bookmarkStart w:id="196" w:name="_Toc29128_WPSOffice_Level3"/>
      <w:bookmarkStart w:id="197" w:name="_Toc19558"/>
      <w:bookmarkStart w:id="198" w:name="_Toc8047"/>
      <w:bookmarkStart w:id="199" w:name="_Toc4460"/>
      <w:bookmarkStart w:id="200" w:name="_Toc10254"/>
      <w:bookmarkStart w:id="201" w:name="_Toc17599"/>
      <w:bookmarkStart w:id="202" w:name="_Toc5465"/>
      <w:bookmarkStart w:id="203" w:name="_Toc32048"/>
      <w:bookmarkStart w:id="204" w:name="_Toc26946"/>
      <w:bookmarkStart w:id="205" w:name="_Toc9095"/>
      <w:bookmarkStart w:id="206" w:name="_Toc11001"/>
      <w:bookmarkStart w:id="207" w:name="_Toc30055"/>
      <w:bookmarkStart w:id="208" w:name="_Toc26654"/>
      <w:bookmarkStart w:id="209" w:name="_Toc26590"/>
      <w:bookmarkStart w:id="210" w:name="_Toc9697"/>
      <w:bookmarkStart w:id="211" w:name="_Toc22965"/>
      <w:bookmarkStart w:id="212" w:name="_Toc11151"/>
      <w:bookmarkStart w:id="213" w:name="_Toc28483"/>
      <w:bookmarkStart w:id="214" w:name="_Toc3039"/>
      <w:bookmarkStart w:id="215" w:name="_Toc27966"/>
      <w:r>
        <w:rPr>
          <w:rFonts w:hint="eastAsia" w:ascii="宋体" w:hAnsi="宋体" w:cs="宋体"/>
          <w:b/>
          <w:bCs/>
          <w:sz w:val="21"/>
          <w:szCs w:val="21"/>
          <w:lang w:val="zh-CN"/>
        </w:rPr>
        <w:t>5.招标公告、招标文件、采购活动和中标结果的质疑</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6C2F280D">
      <w:pPr>
        <w:autoSpaceDE w:val="0"/>
        <w:autoSpaceDN w:val="0"/>
        <w:spacing w:line="360" w:lineRule="auto"/>
        <w:ind w:firstLine="420" w:firstLineChars="200"/>
        <w:rPr>
          <w:rFonts w:ascii="宋体" w:hAnsi="宋体" w:cs="宋体"/>
          <w:kern w:val="0"/>
          <w:sz w:val="21"/>
          <w:szCs w:val="21"/>
          <w:lang w:val="zh-CN"/>
        </w:rPr>
      </w:pPr>
      <w:bookmarkStart w:id="216" w:name="_Toc6087"/>
      <w:bookmarkStart w:id="217" w:name="_Toc5448"/>
      <w:bookmarkStart w:id="218" w:name="_Toc2677"/>
      <w:bookmarkStart w:id="219" w:name="_Toc32493"/>
      <w:bookmarkStart w:id="220" w:name="_Toc27857"/>
      <w:bookmarkStart w:id="221" w:name="_Toc12819"/>
      <w:bookmarkStart w:id="222" w:name="_Toc17926"/>
      <w:bookmarkStart w:id="223" w:name="_Toc10103"/>
      <w:bookmarkStart w:id="224" w:name="_Toc24230"/>
      <w:bookmarkStart w:id="225" w:name="_Toc15181"/>
      <w:bookmarkStart w:id="226" w:name="_Toc8000"/>
      <w:bookmarkStart w:id="227" w:name="_Toc13786_WPSOffice_Level3"/>
      <w:bookmarkStart w:id="228" w:name="_Toc14350"/>
      <w:bookmarkStart w:id="229" w:name="_Toc2597"/>
      <w:bookmarkStart w:id="230" w:name="_Toc17030"/>
      <w:bookmarkStart w:id="231" w:name="_Toc29942"/>
      <w:bookmarkStart w:id="232" w:name="_Toc28905"/>
      <w:bookmarkStart w:id="233" w:name="_Toc3887"/>
      <w:bookmarkStart w:id="234" w:name="_Toc11486"/>
      <w:r>
        <w:rPr>
          <w:rFonts w:hint="eastAsia" w:ascii="宋体" w:hAnsi="宋体" w:cs="宋体"/>
          <w:kern w:val="0"/>
          <w:sz w:val="21"/>
          <w:szCs w:val="21"/>
        </w:rPr>
        <w:t xml:space="preserve">5.1 </w:t>
      </w:r>
      <w:r>
        <w:rPr>
          <w:rFonts w:hint="eastAsia" w:ascii="宋体" w:hAnsi="宋体" w:cs="宋体"/>
          <w:kern w:val="0"/>
          <w:sz w:val="21"/>
          <w:szCs w:val="21"/>
          <w:lang w:val="zh-CN"/>
        </w:rPr>
        <w:t>投标人对招标活动事项有疑问的，可以向招标人提出询问。询问可以采取电话、电子邮件、当面或者书面等形式。对投标人的询问，招标人将依法及时作出答复，但答复的内容不涉及商业秘密或者依法应当保密的内容。</w:t>
      </w:r>
    </w:p>
    <w:p w14:paraId="15430FB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5.2 </w:t>
      </w:r>
      <w:r>
        <w:rPr>
          <w:rFonts w:hint="eastAsia" w:ascii="宋体" w:hAnsi="宋体" w:cs="宋体"/>
          <w:kern w:val="0"/>
          <w:sz w:val="21"/>
          <w:szCs w:val="21"/>
          <w:lang w:val="zh-CN"/>
        </w:rPr>
        <w:t>投标人认为招标公告、招标文件、采购活动和中标结果使自己的权益受到损害的，可以在知道或者应知其权益受到损害之日起</w:t>
      </w:r>
      <w:r>
        <w:rPr>
          <w:rFonts w:hint="eastAsia" w:ascii="宋体" w:hAnsi="宋体" w:cs="宋体"/>
          <w:kern w:val="0"/>
          <w:sz w:val="21"/>
          <w:szCs w:val="21"/>
        </w:rPr>
        <w:t>7</w:t>
      </w:r>
      <w:r>
        <w:rPr>
          <w:rFonts w:hint="eastAsia" w:ascii="宋体" w:hAnsi="宋体" w:cs="宋体"/>
          <w:kern w:val="0"/>
          <w:sz w:val="21"/>
          <w:szCs w:val="21"/>
          <w:lang w:val="zh-CN"/>
        </w:rPr>
        <w:t>个工作日内以书面形式（如信件、传真等）向采购人或者采购代理机构提出质疑，不接受匿名质疑。</w:t>
      </w:r>
      <w:r>
        <w:rPr>
          <w:rFonts w:hint="eastAsia" w:ascii="宋体" w:hAnsi="宋体" w:cs="宋体"/>
          <w:kern w:val="0"/>
          <w:sz w:val="21"/>
          <w:szCs w:val="21"/>
        </w:rPr>
        <w:t>潜在投标人可以对</w:t>
      </w:r>
      <w:r>
        <w:rPr>
          <w:rFonts w:hint="eastAsia" w:ascii="宋体" w:hAnsi="宋体" w:cs="宋体"/>
          <w:kern w:val="0"/>
          <w:sz w:val="21"/>
          <w:szCs w:val="21"/>
          <w:lang w:val="zh-CN"/>
        </w:rPr>
        <w:t>招标公告、</w:t>
      </w:r>
      <w:r>
        <w:rPr>
          <w:rFonts w:hint="eastAsia" w:ascii="宋体" w:hAnsi="宋体" w:cs="宋体"/>
          <w:kern w:val="0"/>
          <w:sz w:val="21"/>
          <w:szCs w:val="21"/>
        </w:rPr>
        <w:t>招标文件提出质疑。</w:t>
      </w:r>
      <w:r>
        <w:rPr>
          <w:rFonts w:hint="eastAsia" w:ascii="宋体" w:hAnsi="宋体" w:cs="宋体"/>
          <w:kern w:val="0"/>
          <w:sz w:val="21"/>
          <w:szCs w:val="21"/>
          <w:lang w:val="zh-CN"/>
        </w:rPr>
        <w:t>采购人或采购代理机构在收到投标人的书面质疑后7个工作日内予以答复，如有变更事宜，应当在发布本次招标公告的网站上发布变更公告，告知本项目的所有潜在投标人。</w:t>
      </w:r>
    </w:p>
    <w:p w14:paraId="03F87B9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5.3 </w:t>
      </w:r>
      <w:r>
        <w:rPr>
          <w:rFonts w:hint="eastAsia" w:ascii="宋体" w:hAnsi="宋体" w:cs="宋体"/>
          <w:kern w:val="0"/>
          <w:sz w:val="21"/>
          <w:szCs w:val="21"/>
          <w:lang w:val="zh-CN"/>
        </w:rPr>
        <w:t>投标人应当在法定质疑期内一次性提出针对同一采购程序环节的质疑，超过次数的质疑将不予受理。以联合体形式参加政府采购活动的，其质疑应当由组成联合体的所有供应商共同提出。</w:t>
      </w:r>
    </w:p>
    <w:p w14:paraId="03296DF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5.4 </w:t>
      </w:r>
      <w:r>
        <w:rPr>
          <w:rFonts w:hint="eastAsia" w:ascii="宋体" w:hAnsi="宋体" w:cs="宋体"/>
          <w:kern w:val="0"/>
          <w:sz w:val="21"/>
          <w:szCs w:val="21"/>
          <w:lang w:val="zh-CN"/>
        </w:rPr>
        <w:t>参与采购活动的投标人对评审过程或者结果提出质疑的，采购人或采购代理机构可以组织原评审委员会协助处理质疑事项，并依据评审委员会出具的意见进行答复。</w:t>
      </w:r>
    </w:p>
    <w:p w14:paraId="1852D1A7">
      <w:pPr>
        <w:spacing w:line="360" w:lineRule="auto"/>
        <w:outlineLvl w:val="2"/>
        <w:rPr>
          <w:rFonts w:ascii="宋体" w:hAnsi="宋体" w:cs="宋体"/>
          <w:b/>
          <w:bCs/>
          <w:sz w:val="21"/>
          <w:szCs w:val="21"/>
          <w:lang w:val="zh-CN"/>
        </w:rPr>
      </w:pPr>
      <w:bookmarkStart w:id="235" w:name="_Toc18010"/>
      <w:bookmarkStart w:id="236" w:name="_Toc5174"/>
      <w:r>
        <w:rPr>
          <w:rFonts w:hint="eastAsia" w:ascii="宋体" w:hAnsi="宋体" w:cs="宋体"/>
          <w:b/>
          <w:bCs/>
          <w:sz w:val="21"/>
          <w:szCs w:val="21"/>
          <w:lang w:val="zh-CN"/>
        </w:rPr>
        <w:t>6.招标文件的澄清或修改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554FBAC9">
      <w:pPr>
        <w:spacing w:line="360" w:lineRule="auto"/>
        <w:ind w:firstLine="420" w:firstLineChars="200"/>
        <w:rPr>
          <w:rFonts w:ascii="宋体" w:hAnsi="宋体" w:cs="宋体"/>
          <w:sz w:val="21"/>
          <w:szCs w:val="21"/>
        </w:rPr>
      </w:pPr>
      <w:bookmarkStart w:id="237" w:name="_Toc30722"/>
      <w:bookmarkStart w:id="238" w:name="_Toc7036"/>
      <w:bookmarkStart w:id="239" w:name="_Toc207"/>
      <w:bookmarkStart w:id="240" w:name="_Toc29030"/>
      <w:bookmarkStart w:id="241" w:name="_Toc24185"/>
      <w:bookmarkStart w:id="242" w:name="_Toc22138"/>
      <w:bookmarkStart w:id="243" w:name="_Toc10007"/>
      <w:bookmarkStart w:id="244" w:name="_Toc32692"/>
      <w:bookmarkStart w:id="245" w:name="_Toc16979_WPSOffice_Level2"/>
      <w:bookmarkStart w:id="246" w:name="_Toc5883"/>
      <w:bookmarkStart w:id="247" w:name="_Toc27974"/>
      <w:bookmarkStart w:id="248" w:name="_Toc18779_WPSOffice_Level2"/>
      <w:bookmarkStart w:id="249" w:name="_Toc17727"/>
      <w:bookmarkStart w:id="250" w:name="_Toc5555"/>
      <w:bookmarkStart w:id="251" w:name="_Toc32695"/>
      <w:bookmarkStart w:id="252" w:name="_Toc28143"/>
      <w:bookmarkStart w:id="253" w:name="_Toc10630"/>
      <w:bookmarkStart w:id="254" w:name="_Toc17782"/>
      <w:bookmarkStart w:id="255" w:name="_Toc27388"/>
      <w:bookmarkStart w:id="256" w:name="_Toc3254"/>
      <w:bookmarkStart w:id="257" w:name="_Toc10094"/>
      <w:bookmarkStart w:id="258" w:name="_Toc18216"/>
      <w:r>
        <w:rPr>
          <w:rFonts w:hint="eastAsia" w:ascii="宋体" w:hAnsi="宋体" w:cs="宋体"/>
          <w:sz w:val="21"/>
          <w:szCs w:val="21"/>
        </w:rPr>
        <w:t>6.1投标人应仔细阅读和检查招标文件的全部内容。如发现缺页或附件不全，应及时向采购人提出，以便补齐。如有疑问，应在投标人须知前附表规定的时间前，应在平顶山市公共资源交易中心电子交易系统中提出，采购人应对投标人所提出的疑问在平顶山市公共资源交易中心电子交易系统中进行回复。</w:t>
      </w:r>
    </w:p>
    <w:p w14:paraId="4E897DDB">
      <w:pPr>
        <w:spacing w:line="360" w:lineRule="auto"/>
        <w:ind w:firstLine="420" w:firstLineChars="200"/>
        <w:rPr>
          <w:rFonts w:ascii="宋体" w:hAnsi="宋体" w:cs="宋体"/>
          <w:sz w:val="21"/>
          <w:szCs w:val="21"/>
        </w:rPr>
      </w:pPr>
      <w:r>
        <w:rPr>
          <w:rFonts w:hint="eastAsia" w:ascii="宋体" w:hAnsi="宋体" w:cs="宋体"/>
          <w:sz w:val="21"/>
          <w:szCs w:val="21"/>
        </w:rPr>
        <w:t>6.2 招标文件的澄清将在供应商须知前附表规定的提交投标文件截止时间15天前在平顶山市公共资源交易中心电子交易系统中发出。如果澄清发出的时间距提交投标文件截止时间不足15天，相应延长提交投标文件截止时间。</w:t>
      </w:r>
    </w:p>
    <w:p w14:paraId="7D54E05D">
      <w:pPr>
        <w:spacing w:line="360" w:lineRule="auto"/>
        <w:ind w:firstLine="420" w:firstLineChars="200"/>
        <w:rPr>
          <w:rFonts w:ascii="宋体" w:hAnsi="宋体" w:cs="宋体"/>
          <w:sz w:val="21"/>
          <w:szCs w:val="21"/>
        </w:rPr>
      </w:pPr>
      <w:r>
        <w:rPr>
          <w:rFonts w:hint="eastAsia" w:ascii="宋体" w:hAnsi="宋体" w:cs="宋体"/>
          <w:sz w:val="21"/>
          <w:szCs w:val="21"/>
        </w:rPr>
        <w:t>6.3采购人可以修改招标文件，并在平顶山市公共资源交易中心电子交易系统中发出。但如果修改招标文件的时间距投标截止时间不足15天，并且修改内容影响投标文件编制的，将相应延长投标截止时间。</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079DBD03">
      <w:pPr>
        <w:pStyle w:val="5"/>
        <w:ind w:firstLine="422"/>
        <w:jc w:val="center"/>
        <w:rPr>
          <w:rFonts w:ascii="宋体" w:hAnsi="宋体" w:cs="宋体"/>
          <w:sz w:val="21"/>
          <w:szCs w:val="21"/>
          <w:lang w:val="zh-CN"/>
        </w:rPr>
      </w:pPr>
      <w:bookmarkStart w:id="259" w:name="_Toc9442"/>
      <w:bookmarkStart w:id="260" w:name="_Toc13971"/>
      <w:bookmarkStart w:id="261" w:name="_Toc29478"/>
      <w:bookmarkStart w:id="262" w:name="_Toc19994"/>
      <w:bookmarkStart w:id="263" w:name="_Toc23983"/>
      <w:bookmarkStart w:id="264" w:name="_Toc991"/>
      <w:bookmarkStart w:id="265" w:name="_Toc8120"/>
      <w:bookmarkStart w:id="266" w:name="_Toc19753"/>
      <w:bookmarkStart w:id="267" w:name="_Toc22883"/>
      <w:bookmarkStart w:id="268" w:name="_Toc1060"/>
      <w:bookmarkStart w:id="269" w:name="_Toc10514"/>
      <w:bookmarkStart w:id="270" w:name="_Toc18311"/>
      <w:bookmarkStart w:id="271" w:name="_Toc29390"/>
      <w:bookmarkStart w:id="272" w:name="_Toc30977"/>
      <w:bookmarkStart w:id="273" w:name="_Toc30890"/>
      <w:bookmarkStart w:id="274" w:name="_Toc27422"/>
      <w:bookmarkStart w:id="275" w:name="_Toc16771"/>
      <w:bookmarkStart w:id="276" w:name="_Toc3061"/>
      <w:bookmarkStart w:id="277" w:name="_Toc12250"/>
      <w:bookmarkStart w:id="278" w:name="_Toc10641"/>
      <w:bookmarkStart w:id="279" w:name="_Toc11666_WPSOffice_Level3"/>
      <w:r>
        <w:rPr>
          <w:rFonts w:hint="eastAsia" w:ascii="宋体" w:hAnsi="宋体" w:cs="宋体"/>
          <w:sz w:val="21"/>
          <w:szCs w:val="21"/>
          <w:lang w:val="zh-CN"/>
        </w:rPr>
        <w:t>三、投标文件的编制</w:t>
      </w:r>
      <w:bookmarkEnd w:id="259"/>
      <w:bookmarkEnd w:id="260"/>
    </w:p>
    <w:p w14:paraId="4AC22187">
      <w:pPr>
        <w:spacing w:line="360" w:lineRule="auto"/>
        <w:outlineLvl w:val="2"/>
        <w:rPr>
          <w:rFonts w:ascii="宋体" w:hAnsi="宋体" w:cs="宋体"/>
          <w:b/>
          <w:bCs/>
          <w:sz w:val="21"/>
          <w:szCs w:val="21"/>
          <w:lang w:val="zh-CN"/>
        </w:rPr>
      </w:pPr>
      <w:bookmarkStart w:id="280" w:name="_Toc25727"/>
      <w:bookmarkStart w:id="281" w:name="_Toc5509"/>
      <w:bookmarkStart w:id="282" w:name="_Toc3071"/>
      <w:bookmarkStart w:id="283" w:name="_Toc4530"/>
      <w:bookmarkStart w:id="284" w:name="_Toc11296"/>
      <w:bookmarkStart w:id="285" w:name="_Toc27352"/>
      <w:bookmarkStart w:id="286" w:name="_Toc8299"/>
      <w:bookmarkStart w:id="287" w:name="_Toc29859"/>
      <w:bookmarkStart w:id="288" w:name="_Toc24455_WPSOffice_Level3"/>
      <w:bookmarkStart w:id="289" w:name="_Toc20841"/>
      <w:bookmarkStart w:id="290" w:name="_Toc21406"/>
      <w:bookmarkStart w:id="291" w:name="_Toc29544"/>
      <w:bookmarkStart w:id="292" w:name="_Toc7996"/>
      <w:bookmarkStart w:id="293" w:name="_Toc22546"/>
      <w:bookmarkStart w:id="294" w:name="_Toc14598"/>
      <w:bookmarkStart w:id="295" w:name="_Toc26368"/>
      <w:bookmarkStart w:id="296" w:name="_Toc21869"/>
      <w:bookmarkStart w:id="297" w:name="_Toc22462"/>
      <w:bookmarkStart w:id="298" w:name="_Toc12603"/>
      <w:bookmarkStart w:id="299" w:name="_Toc15733"/>
      <w:bookmarkStart w:id="300" w:name="_Toc28801"/>
      <w:r>
        <w:rPr>
          <w:rFonts w:hint="eastAsia" w:ascii="宋体" w:hAnsi="宋体" w:cs="宋体"/>
          <w:b/>
          <w:bCs/>
          <w:sz w:val="21"/>
          <w:szCs w:val="21"/>
          <w:lang w:val="zh-CN"/>
        </w:rPr>
        <w:t>7.投标文件的语言及度量衡单位</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32050985">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7.1</w:t>
      </w:r>
      <w:r>
        <w:rPr>
          <w:rFonts w:hint="eastAsia" w:ascii="宋体" w:hAnsi="宋体" w:cs="宋体"/>
          <w:kern w:val="0"/>
          <w:sz w:val="21"/>
          <w:szCs w:val="21"/>
        </w:rPr>
        <w:t xml:space="preserve"> </w:t>
      </w:r>
      <w:r>
        <w:rPr>
          <w:rFonts w:hint="eastAsia" w:ascii="宋体" w:hAnsi="宋体" w:cs="宋体"/>
          <w:kern w:val="0"/>
          <w:sz w:val="21"/>
          <w:szCs w:val="21"/>
          <w:lang w:val="zh-CN"/>
        </w:rPr>
        <w:t>投标人提交的投标文件以及投标人与采购代理机构就此投标发生的所有来往函电均应使用简体中文。</w:t>
      </w:r>
      <w:r>
        <w:rPr>
          <w:rFonts w:hint="eastAsia" w:ascii="宋体" w:hAnsi="宋体" w:cs="宋体"/>
          <w:sz w:val="21"/>
          <w:szCs w:val="21"/>
        </w:rPr>
        <w:t>除签名、盖章、专用名称等特殊情形外，以中文汉语以外的文字表述的投标文件视同未提供。</w:t>
      </w:r>
    </w:p>
    <w:p w14:paraId="535A83A6">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7.2 除招标文件中另有规定外，投标文件所使用的度量衡单位，均须采用国家法定计量单位。</w:t>
      </w:r>
    </w:p>
    <w:p w14:paraId="0DFB49F7">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7.3 附有外文资料的须翻译成中文，并加盖投标人公章，如果翻译的中文资料与外文资料出现差异与矛盾时，以中文为准，其准确性由投标人负责。</w:t>
      </w:r>
    </w:p>
    <w:p w14:paraId="4A464820">
      <w:pPr>
        <w:spacing w:line="360" w:lineRule="auto"/>
        <w:outlineLvl w:val="2"/>
        <w:rPr>
          <w:rFonts w:ascii="宋体" w:hAnsi="宋体" w:cs="宋体"/>
          <w:b/>
          <w:bCs/>
          <w:sz w:val="21"/>
          <w:szCs w:val="21"/>
          <w:lang w:val="zh-CN"/>
        </w:rPr>
      </w:pPr>
      <w:bookmarkStart w:id="301" w:name="_Toc18092"/>
      <w:bookmarkStart w:id="302" w:name="_Toc2250"/>
      <w:bookmarkStart w:id="303" w:name="_Toc14252"/>
      <w:bookmarkStart w:id="304" w:name="_Toc845"/>
      <w:bookmarkStart w:id="305" w:name="_Toc14163"/>
      <w:bookmarkStart w:id="306" w:name="_Toc1015"/>
      <w:bookmarkStart w:id="307" w:name="_Toc26346"/>
      <w:bookmarkStart w:id="308" w:name="_Toc13296"/>
      <w:bookmarkStart w:id="309" w:name="_Toc17688"/>
      <w:bookmarkStart w:id="310" w:name="_Toc25113"/>
      <w:bookmarkStart w:id="311" w:name="_Toc13379"/>
      <w:bookmarkStart w:id="312" w:name="_Toc4590"/>
      <w:bookmarkStart w:id="313" w:name="_Toc10"/>
      <w:bookmarkStart w:id="314" w:name="_Toc8823"/>
      <w:bookmarkStart w:id="315" w:name="_Toc20950"/>
      <w:bookmarkStart w:id="316" w:name="_Toc23685_WPSOffice_Level3"/>
      <w:bookmarkStart w:id="317" w:name="_Toc5598"/>
      <w:bookmarkStart w:id="318" w:name="_Toc4265"/>
      <w:bookmarkStart w:id="319" w:name="_Toc14910"/>
      <w:bookmarkStart w:id="320" w:name="_Toc21074"/>
      <w:bookmarkStart w:id="321" w:name="_Toc8668"/>
      <w:r>
        <w:rPr>
          <w:rFonts w:hint="eastAsia" w:ascii="宋体" w:hAnsi="宋体" w:cs="宋体"/>
          <w:b/>
          <w:bCs/>
          <w:sz w:val="21"/>
          <w:szCs w:val="21"/>
          <w:lang w:val="zh-CN"/>
        </w:rPr>
        <w:t>8.投标报价及币种</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2143DFDF">
      <w:pPr>
        <w:autoSpaceDE w:val="0"/>
        <w:autoSpaceDN w:val="0"/>
        <w:spacing w:line="360" w:lineRule="auto"/>
        <w:ind w:firstLine="420" w:firstLineChars="200"/>
        <w:rPr>
          <w:rFonts w:ascii="宋体" w:hAnsi="宋体" w:cs="宋体"/>
          <w:kern w:val="0"/>
          <w:sz w:val="21"/>
          <w:szCs w:val="21"/>
          <w:u w:val="dashDotHeavy"/>
          <w:lang w:val="zh-CN"/>
        </w:rPr>
      </w:pPr>
      <w:bookmarkStart w:id="322" w:name="_Toc23796"/>
      <w:bookmarkStart w:id="323" w:name="_Toc17123"/>
      <w:bookmarkStart w:id="324" w:name="_Toc15534"/>
      <w:bookmarkStart w:id="325" w:name="_Toc31009"/>
      <w:bookmarkStart w:id="326" w:name="_Toc15412"/>
      <w:bookmarkStart w:id="327" w:name="_Toc28628"/>
      <w:bookmarkStart w:id="328" w:name="_Toc32395"/>
      <w:bookmarkStart w:id="329" w:name="_Toc28974"/>
      <w:bookmarkStart w:id="330" w:name="_Toc9320_WPSOffice_Level3"/>
      <w:bookmarkStart w:id="331" w:name="_Toc13148"/>
      <w:bookmarkStart w:id="332" w:name="_Toc21999"/>
      <w:bookmarkStart w:id="333" w:name="_Toc2643"/>
      <w:bookmarkStart w:id="334" w:name="_Toc24370"/>
      <w:bookmarkStart w:id="335" w:name="_Toc7627"/>
      <w:bookmarkStart w:id="336" w:name="_Toc26800"/>
      <w:bookmarkStart w:id="337" w:name="_Toc16934"/>
      <w:bookmarkStart w:id="338" w:name="_Toc11508"/>
      <w:bookmarkStart w:id="339" w:name="_Toc31504"/>
      <w:bookmarkStart w:id="340" w:name="_Toc25844"/>
      <w:r>
        <w:rPr>
          <w:rFonts w:hint="eastAsia" w:ascii="宋体" w:hAnsi="宋体" w:cs="宋体"/>
          <w:kern w:val="0"/>
          <w:sz w:val="21"/>
          <w:szCs w:val="21"/>
          <w:lang w:val="zh-CN"/>
        </w:rPr>
        <w:t>8.1</w:t>
      </w:r>
      <w:r>
        <w:rPr>
          <w:rFonts w:hint="eastAsia" w:ascii="宋体" w:hAnsi="宋体" w:cs="宋体"/>
          <w:kern w:val="0"/>
          <w:sz w:val="21"/>
          <w:szCs w:val="21"/>
        </w:rPr>
        <w:t xml:space="preserve"> </w:t>
      </w:r>
      <w:r>
        <w:rPr>
          <w:rFonts w:hint="eastAsia" w:ascii="宋体" w:hAnsi="宋体" w:cs="宋体"/>
          <w:kern w:val="0"/>
          <w:sz w:val="21"/>
          <w:szCs w:val="21"/>
          <w:lang w:val="zh-CN"/>
        </w:rPr>
        <w:t>投标报价为人民币。投标报价必须包括：</w:t>
      </w:r>
      <w:r>
        <w:rPr>
          <w:rFonts w:hint="eastAsia" w:ascii="宋体" w:hAnsi="宋体" w:cs="宋体"/>
          <w:b/>
          <w:kern w:val="0"/>
          <w:sz w:val="21"/>
          <w:szCs w:val="21"/>
          <w:lang w:val="zh-CN"/>
        </w:rPr>
        <w:t>产品费、验收费、手续费、包装费、运输费、保险费、安装费、调试费、培训费、售前、售中、售后服务费、税金及不可预见费等全部费用</w:t>
      </w:r>
      <w:r>
        <w:rPr>
          <w:rFonts w:hint="eastAsia" w:ascii="宋体" w:hAnsi="宋体" w:cs="宋体"/>
          <w:kern w:val="0"/>
          <w:sz w:val="21"/>
          <w:szCs w:val="21"/>
          <w:lang w:val="zh-CN"/>
        </w:rPr>
        <w:t>。</w:t>
      </w:r>
    </w:p>
    <w:p w14:paraId="691953B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8.2</w:t>
      </w:r>
      <w:r>
        <w:rPr>
          <w:rFonts w:hint="eastAsia" w:ascii="宋体" w:hAnsi="宋体" w:cs="宋体"/>
          <w:kern w:val="0"/>
          <w:sz w:val="21"/>
          <w:szCs w:val="21"/>
        </w:rPr>
        <w:t xml:space="preserve"> </w:t>
      </w:r>
      <w:r>
        <w:rPr>
          <w:rFonts w:hint="eastAsia" w:ascii="宋体" w:hAnsi="宋体" w:cs="宋体"/>
          <w:kern w:val="0"/>
          <w:sz w:val="21"/>
          <w:szCs w:val="21"/>
          <w:lang w:val="zh-CN"/>
        </w:rPr>
        <w:t>投标报价有效期与投标有效期一致。</w:t>
      </w:r>
    </w:p>
    <w:p w14:paraId="509C0C8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8.</w:t>
      </w:r>
      <w:r>
        <w:rPr>
          <w:rFonts w:hint="eastAsia" w:ascii="宋体" w:hAnsi="宋体" w:cs="宋体"/>
          <w:kern w:val="0"/>
          <w:sz w:val="21"/>
          <w:szCs w:val="21"/>
        </w:rPr>
        <w:t xml:space="preserve">3 </w:t>
      </w:r>
      <w:r>
        <w:rPr>
          <w:rFonts w:hint="eastAsia" w:ascii="宋体" w:hAnsi="宋体" w:cs="宋体"/>
          <w:kern w:val="0"/>
          <w:sz w:val="21"/>
          <w:szCs w:val="21"/>
          <w:lang w:val="zh-CN"/>
        </w:rPr>
        <w:t>投标报价为最终价，即中标后在合同有效期内价格不变。</w:t>
      </w:r>
    </w:p>
    <w:p w14:paraId="0F5F0F6D">
      <w:pPr>
        <w:spacing w:line="360" w:lineRule="auto"/>
        <w:outlineLvl w:val="2"/>
        <w:rPr>
          <w:rFonts w:ascii="宋体" w:hAnsi="宋体" w:cs="宋体"/>
          <w:b/>
          <w:bCs/>
          <w:sz w:val="21"/>
          <w:szCs w:val="21"/>
          <w:lang w:val="zh-CN"/>
        </w:rPr>
      </w:pPr>
      <w:bookmarkStart w:id="341" w:name="_Toc1039"/>
      <w:bookmarkStart w:id="342" w:name="_Toc21028"/>
      <w:r>
        <w:rPr>
          <w:rFonts w:hint="eastAsia" w:ascii="宋体" w:hAnsi="宋体" w:cs="宋体"/>
          <w:b/>
          <w:bCs/>
          <w:sz w:val="21"/>
          <w:szCs w:val="21"/>
          <w:lang w:val="zh-CN"/>
        </w:rPr>
        <w:t>9.投标保证金</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52488D3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本项目不收取。</w:t>
      </w:r>
    </w:p>
    <w:p w14:paraId="6D3A1103">
      <w:pPr>
        <w:spacing w:line="360" w:lineRule="auto"/>
        <w:outlineLvl w:val="2"/>
        <w:rPr>
          <w:rFonts w:ascii="宋体" w:hAnsi="宋体" w:cs="宋体"/>
          <w:b/>
          <w:bCs/>
          <w:sz w:val="21"/>
          <w:szCs w:val="21"/>
          <w:lang w:val="zh-CN"/>
        </w:rPr>
      </w:pPr>
      <w:bookmarkStart w:id="343" w:name="_Toc10148"/>
      <w:bookmarkStart w:id="344" w:name="_Toc25386"/>
      <w:bookmarkStart w:id="345" w:name="_Toc13943"/>
      <w:bookmarkStart w:id="346" w:name="_Toc21429"/>
      <w:bookmarkStart w:id="347" w:name="_Toc19671"/>
      <w:bookmarkStart w:id="348" w:name="_Toc25800"/>
      <w:bookmarkStart w:id="349" w:name="_Toc17539"/>
      <w:bookmarkStart w:id="350" w:name="_Toc25383"/>
      <w:bookmarkStart w:id="351" w:name="_Toc18779_WPSOffice_Level3"/>
      <w:bookmarkStart w:id="352" w:name="_Toc13276"/>
      <w:bookmarkStart w:id="353" w:name="_Toc31621"/>
      <w:bookmarkStart w:id="354" w:name="_Toc10386"/>
      <w:bookmarkStart w:id="355" w:name="_Toc28152"/>
      <w:bookmarkStart w:id="356" w:name="_Toc17102"/>
      <w:bookmarkStart w:id="357" w:name="_Toc7288"/>
      <w:bookmarkStart w:id="358" w:name="_Toc1867"/>
      <w:bookmarkStart w:id="359" w:name="_Toc17745"/>
      <w:bookmarkStart w:id="360" w:name="_Toc4186"/>
      <w:bookmarkStart w:id="361" w:name="_Toc10743"/>
      <w:bookmarkStart w:id="362" w:name="_Toc16882"/>
      <w:bookmarkStart w:id="363" w:name="_Toc25081"/>
      <w:r>
        <w:rPr>
          <w:rFonts w:hint="eastAsia" w:ascii="宋体" w:hAnsi="宋体" w:cs="宋体"/>
          <w:b/>
          <w:bCs/>
          <w:sz w:val="21"/>
          <w:szCs w:val="21"/>
          <w:lang w:val="zh-CN"/>
        </w:rPr>
        <w:t>10.投标有效期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64D9424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sz w:val="21"/>
          <w:szCs w:val="21"/>
          <w:shd w:val="clear" w:color="auto" w:fill="FFFFFF"/>
        </w:rPr>
        <w:t>从提交投标文件的截止之日起</w:t>
      </w:r>
      <w:r>
        <w:rPr>
          <w:rFonts w:hint="eastAsia" w:ascii="宋体" w:hAnsi="宋体" w:cs="宋体"/>
          <w:sz w:val="21"/>
          <w:szCs w:val="21"/>
          <w:shd w:val="clear" w:color="auto" w:fill="FFFFFF"/>
          <w:lang w:val="zh-CN"/>
        </w:rPr>
        <w:t>90日历</w:t>
      </w:r>
      <w:r>
        <w:rPr>
          <w:rFonts w:hint="eastAsia" w:ascii="宋体" w:hAnsi="宋体" w:cs="宋体"/>
          <w:kern w:val="0"/>
          <w:sz w:val="21"/>
          <w:szCs w:val="21"/>
          <w:lang w:val="zh-CN"/>
        </w:rPr>
        <w:t>天。投标文件中承诺的投标有效期应当不少于招标文件中载明的投标有效期。</w:t>
      </w:r>
    </w:p>
    <w:p w14:paraId="26451706">
      <w:pPr>
        <w:spacing w:line="360" w:lineRule="auto"/>
        <w:outlineLvl w:val="2"/>
        <w:rPr>
          <w:rFonts w:ascii="宋体" w:hAnsi="宋体" w:cs="宋体"/>
          <w:b/>
          <w:bCs/>
          <w:sz w:val="21"/>
          <w:szCs w:val="21"/>
          <w:lang w:val="zh-CN"/>
        </w:rPr>
      </w:pPr>
      <w:bookmarkStart w:id="364" w:name="_Toc537"/>
      <w:bookmarkStart w:id="365" w:name="_Toc6969"/>
      <w:bookmarkStart w:id="366" w:name="_Toc31858"/>
      <w:bookmarkStart w:id="367" w:name="_Toc31280"/>
      <w:bookmarkStart w:id="368" w:name="_Toc29318"/>
      <w:bookmarkStart w:id="369" w:name="_Toc21798"/>
      <w:bookmarkStart w:id="370" w:name="_Toc12824"/>
      <w:bookmarkStart w:id="371" w:name="_Toc8803"/>
      <w:bookmarkStart w:id="372" w:name="_Toc28856"/>
      <w:bookmarkStart w:id="373" w:name="_Toc30439"/>
      <w:bookmarkStart w:id="374" w:name="_Toc31009_WPSOffice_Level3"/>
      <w:bookmarkStart w:id="375" w:name="_Toc11981"/>
      <w:bookmarkStart w:id="376" w:name="_Toc28786"/>
      <w:bookmarkStart w:id="377" w:name="_Toc22558"/>
      <w:bookmarkStart w:id="378" w:name="_Toc5436"/>
      <w:bookmarkStart w:id="379" w:name="_Toc29202"/>
      <w:bookmarkStart w:id="380" w:name="_Toc31868"/>
      <w:bookmarkStart w:id="381" w:name="_Toc10951"/>
      <w:bookmarkStart w:id="382" w:name="_Toc23990"/>
      <w:bookmarkStart w:id="383" w:name="_Toc12346"/>
      <w:bookmarkStart w:id="384" w:name="_Toc7842"/>
      <w:r>
        <w:rPr>
          <w:rFonts w:hint="eastAsia" w:ascii="宋体" w:hAnsi="宋体" w:cs="宋体"/>
          <w:b/>
          <w:bCs/>
          <w:sz w:val="21"/>
          <w:szCs w:val="21"/>
          <w:lang w:val="zh-CN"/>
        </w:rPr>
        <w:t>11.投标文件构成</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54C1A2CF">
      <w:pPr>
        <w:spacing w:line="360" w:lineRule="auto"/>
        <w:ind w:firstLine="420" w:firstLineChars="200"/>
        <w:rPr>
          <w:rFonts w:ascii="宋体" w:hAnsi="宋体" w:cs="宋体"/>
          <w:sz w:val="21"/>
          <w:szCs w:val="21"/>
        </w:rPr>
      </w:pPr>
      <w:r>
        <w:rPr>
          <w:rFonts w:hint="eastAsia" w:ascii="宋体" w:hAnsi="宋体" w:cs="宋体"/>
          <w:sz w:val="21"/>
          <w:szCs w:val="21"/>
        </w:rPr>
        <w:t xml:space="preserve">投标人应参照第四部分投标文件格式，按以下要求内容和顺序编制、提交文件： </w:t>
      </w:r>
    </w:p>
    <w:p w14:paraId="72AD3BD9">
      <w:pPr>
        <w:spacing w:line="360" w:lineRule="auto"/>
        <w:ind w:firstLine="420" w:firstLineChars="200"/>
        <w:rPr>
          <w:rFonts w:ascii="宋体" w:hAnsi="宋体" w:cs="宋体"/>
          <w:sz w:val="21"/>
          <w:szCs w:val="21"/>
        </w:rPr>
      </w:pPr>
      <w:r>
        <w:rPr>
          <w:rFonts w:hint="eastAsia" w:ascii="宋体" w:hAnsi="宋体" w:cs="宋体"/>
          <w:sz w:val="21"/>
          <w:szCs w:val="21"/>
        </w:rPr>
        <w:t xml:space="preserve">（1）投标函； </w:t>
      </w:r>
    </w:p>
    <w:p w14:paraId="20D7C2CB">
      <w:pPr>
        <w:spacing w:line="360" w:lineRule="auto"/>
        <w:ind w:firstLine="420" w:firstLineChars="200"/>
        <w:rPr>
          <w:rFonts w:ascii="宋体" w:hAnsi="宋体" w:cs="宋体"/>
          <w:sz w:val="21"/>
          <w:szCs w:val="21"/>
        </w:rPr>
      </w:pPr>
      <w:r>
        <w:rPr>
          <w:rFonts w:hint="eastAsia" w:ascii="宋体" w:hAnsi="宋体" w:cs="宋体"/>
          <w:sz w:val="21"/>
          <w:szCs w:val="21"/>
        </w:rPr>
        <w:t>（2）开标一览表；</w:t>
      </w:r>
    </w:p>
    <w:p w14:paraId="1025CC64">
      <w:pPr>
        <w:spacing w:line="360" w:lineRule="auto"/>
        <w:ind w:firstLine="420" w:firstLineChars="200"/>
        <w:rPr>
          <w:rFonts w:ascii="宋体" w:hAnsi="宋体" w:cs="宋体"/>
          <w:sz w:val="21"/>
          <w:szCs w:val="21"/>
        </w:rPr>
      </w:pPr>
      <w:r>
        <w:rPr>
          <w:rFonts w:hint="eastAsia" w:ascii="宋体" w:hAnsi="宋体" w:cs="宋体"/>
          <w:sz w:val="21"/>
          <w:szCs w:val="21"/>
        </w:rPr>
        <w:t>（3）法定代表人身份证明和授权委托书；</w:t>
      </w:r>
    </w:p>
    <w:p w14:paraId="504467B9">
      <w:pPr>
        <w:spacing w:line="360" w:lineRule="auto"/>
        <w:ind w:firstLine="420" w:firstLineChars="200"/>
        <w:rPr>
          <w:rFonts w:ascii="宋体" w:hAnsi="宋体" w:cs="宋体"/>
          <w:sz w:val="21"/>
          <w:szCs w:val="21"/>
        </w:rPr>
      </w:pPr>
      <w:r>
        <w:rPr>
          <w:rFonts w:hint="eastAsia" w:ascii="宋体" w:hAnsi="宋体" w:cs="宋体"/>
          <w:sz w:val="21"/>
          <w:szCs w:val="21"/>
        </w:rPr>
        <w:t>（4）投标货物分项报价表；</w:t>
      </w:r>
    </w:p>
    <w:p w14:paraId="1555EBD6">
      <w:pPr>
        <w:spacing w:line="360" w:lineRule="auto"/>
        <w:ind w:firstLine="420" w:firstLineChars="200"/>
        <w:rPr>
          <w:rFonts w:ascii="宋体" w:hAnsi="宋体" w:cs="宋体"/>
          <w:sz w:val="21"/>
          <w:szCs w:val="21"/>
        </w:rPr>
      </w:pPr>
      <w:r>
        <w:rPr>
          <w:rFonts w:hint="eastAsia" w:ascii="宋体" w:hAnsi="宋体" w:cs="宋体"/>
          <w:sz w:val="21"/>
          <w:szCs w:val="21"/>
        </w:rPr>
        <w:t>（5）技术参数响应/偏离表；</w:t>
      </w:r>
    </w:p>
    <w:p w14:paraId="3389415B">
      <w:pPr>
        <w:spacing w:line="360" w:lineRule="auto"/>
        <w:ind w:firstLine="420" w:firstLineChars="200"/>
        <w:rPr>
          <w:rFonts w:ascii="宋体" w:hAnsi="宋体" w:cs="宋体"/>
          <w:sz w:val="21"/>
          <w:szCs w:val="21"/>
        </w:rPr>
      </w:pPr>
      <w:r>
        <w:rPr>
          <w:rFonts w:hint="eastAsia" w:ascii="宋体" w:hAnsi="宋体" w:cs="宋体"/>
          <w:sz w:val="21"/>
          <w:szCs w:val="21"/>
        </w:rPr>
        <w:t>（6）</w:t>
      </w:r>
      <w:r>
        <w:rPr>
          <w:rFonts w:hint="eastAsia" w:ascii="宋体" w:hAnsi="宋体" w:cs="宋体"/>
          <w:sz w:val="21"/>
          <w:szCs w:val="21"/>
          <w:lang w:val="en-US" w:eastAsia="zh-CN"/>
        </w:rPr>
        <w:t>服务</w:t>
      </w:r>
      <w:r>
        <w:rPr>
          <w:rFonts w:hint="eastAsia" w:ascii="宋体" w:hAnsi="宋体" w:cs="宋体"/>
          <w:sz w:val="21"/>
          <w:szCs w:val="21"/>
        </w:rPr>
        <w:t>方案；</w:t>
      </w:r>
    </w:p>
    <w:p w14:paraId="43E4D71F">
      <w:pPr>
        <w:spacing w:line="360" w:lineRule="auto"/>
        <w:ind w:firstLine="420" w:firstLineChars="200"/>
        <w:rPr>
          <w:rFonts w:ascii="宋体" w:hAnsi="宋体" w:cs="宋体"/>
          <w:sz w:val="21"/>
          <w:szCs w:val="21"/>
        </w:rPr>
      </w:pPr>
      <w:r>
        <w:rPr>
          <w:rFonts w:hint="eastAsia" w:ascii="宋体" w:hAnsi="宋体" w:cs="宋体"/>
          <w:sz w:val="21"/>
          <w:szCs w:val="21"/>
        </w:rPr>
        <w:t>（7）资格证明文件；</w:t>
      </w:r>
    </w:p>
    <w:p w14:paraId="325471E3">
      <w:pPr>
        <w:spacing w:line="360" w:lineRule="auto"/>
        <w:ind w:firstLine="420" w:firstLineChars="200"/>
        <w:rPr>
          <w:rFonts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eastAsia="zh-CN"/>
        </w:rPr>
        <w:t>8</w:t>
      </w:r>
      <w:r>
        <w:rPr>
          <w:rFonts w:hint="eastAsia" w:ascii="宋体" w:hAnsi="宋体" w:cs="宋体"/>
          <w:sz w:val="21"/>
          <w:szCs w:val="21"/>
        </w:rPr>
        <w:t>）招标代理费支付承诺；</w:t>
      </w:r>
    </w:p>
    <w:p w14:paraId="536DD1E2">
      <w:pPr>
        <w:spacing w:line="360" w:lineRule="auto"/>
        <w:ind w:firstLine="420" w:firstLineChars="200"/>
        <w:rPr>
          <w:rFonts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eastAsia="zh-CN"/>
        </w:rPr>
        <w:t>9</w:t>
      </w:r>
      <w:r>
        <w:rPr>
          <w:rFonts w:hint="eastAsia" w:ascii="宋体" w:hAnsi="宋体" w:cs="宋体"/>
          <w:sz w:val="21"/>
          <w:szCs w:val="21"/>
        </w:rPr>
        <w:t>）投标承诺函；</w:t>
      </w:r>
    </w:p>
    <w:p w14:paraId="55ADF5B4">
      <w:pPr>
        <w:spacing w:line="360" w:lineRule="auto"/>
        <w:ind w:firstLine="420" w:firstLineChars="200"/>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0</w:t>
      </w:r>
      <w:r>
        <w:rPr>
          <w:rFonts w:hint="eastAsia" w:ascii="宋体" w:hAnsi="宋体" w:cs="宋体"/>
          <w:sz w:val="21"/>
          <w:szCs w:val="21"/>
        </w:rPr>
        <w:t>）其他资料；</w:t>
      </w:r>
    </w:p>
    <w:p w14:paraId="56419E4D">
      <w:pPr>
        <w:autoSpaceDE w:val="0"/>
        <w:autoSpaceDN w:val="0"/>
        <w:spacing w:line="360" w:lineRule="auto"/>
        <w:ind w:firstLine="525" w:firstLineChars="250"/>
        <w:rPr>
          <w:rFonts w:ascii="宋体" w:hAnsi="宋体" w:cs="宋体"/>
          <w:kern w:val="0"/>
          <w:sz w:val="21"/>
          <w:szCs w:val="21"/>
          <w:lang w:val="zh-CN"/>
        </w:rPr>
      </w:pPr>
      <w:r>
        <w:rPr>
          <w:rFonts w:hint="eastAsia" w:ascii="宋体" w:hAnsi="宋体" w:cs="宋体"/>
          <w:kern w:val="0"/>
          <w:sz w:val="21"/>
          <w:szCs w:val="21"/>
          <w:lang w:val="zh-CN"/>
        </w:rPr>
        <w:t>备注：投标人必须按上述内容、顺序和格式编制投标文件，并按要求编制目录、页码，并保证所提供的全部资料真实可信，并自愿承担相应责任。</w:t>
      </w:r>
      <w:r>
        <w:rPr>
          <w:rFonts w:hint="eastAsia" w:ascii="宋体" w:hAnsi="宋体" w:cs="宋体"/>
          <w:sz w:val="21"/>
          <w:szCs w:val="21"/>
        </w:rPr>
        <w:t>投标文件</w:t>
      </w:r>
      <w:r>
        <w:rPr>
          <w:rFonts w:hint="eastAsia" w:ascii="宋体" w:hAnsi="宋体" w:cs="宋体"/>
          <w:kern w:val="0"/>
          <w:sz w:val="21"/>
          <w:szCs w:val="21"/>
        </w:rPr>
        <w:t>如存在内容不完整或者字迹模糊难以辨认，评标委员会无法准确判定该项材料的有效性时，将认定按照该项材料不合格。</w:t>
      </w:r>
    </w:p>
    <w:p w14:paraId="26E47930">
      <w:pPr>
        <w:spacing w:line="360" w:lineRule="auto"/>
        <w:outlineLvl w:val="2"/>
        <w:rPr>
          <w:rFonts w:ascii="宋体" w:hAnsi="宋体" w:cs="宋体"/>
          <w:b/>
          <w:bCs/>
          <w:sz w:val="21"/>
          <w:szCs w:val="21"/>
          <w:lang w:val="zh-CN"/>
        </w:rPr>
      </w:pPr>
      <w:bookmarkStart w:id="385" w:name="_Toc30259"/>
      <w:bookmarkStart w:id="386" w:name="_Toc27876"/>
      <w:bookmarkStart w:id="387" w:name="_Toc12267"/>
      <w:bookmarkStart w:id="388" w:name="_Toc11602"/>
      <w:bookmarkStart w:id="389" w:name="_Toc29354"/>
      <w:bookmarkStart w:id="390" w:name="_Toc8183"/>
      <w:bookmarkStart w:id="391" w:name="_Toc7890"/>
      <w:bookmarkStart w:id="392" w:name="_Toc27156"/>
      <w:bookmarkStart w:id="393" w:name="_Toc5792"/>
      <w:bookmarkStart w:id="394" w:name="_Toc799"/>
      <w:bookmarkStart w:id="395" w:name="_Toc27584"/>
      <w:bookmarkStart w:id="396" w:name="_Toc25301"/>
      <w:bookmarkStart w:id="397" w:name="_Toc4251_WPSOffice_Level3"/>
      <w:bookmarkStart w:id="398" w:name="_Toc27961"/>
      <w:bookmarkStart w:id="399" w:name="_Toc6014"/>
      <w:bookmarkStart w:id="400" w:name="_Toc19738"/>
      <w:bookmarkStart w:id="401" w:name="_Toc11014"/>
      <w:bookmarkStart w:id="402" w:name="_Toc8084"/>
      <w:bookmarkStart w:id="403" w:name="_Toc30817"/>
      <w:bookmarkStart w:id="404" w:name="_Toc8892"/>
      <w:bookmarkStart w:id="405" w:name="_Toc18935"/>
      <w:r>
        <w:rPr>
          <w:rFonts w:hint="eastAsia" w:ascii="宋体" w:hAnsi="宋体" w:cs="宋体"/>
          <w:b/>
          <w:bCs/>
          <w:sz w:val="21"/>
          <w:szCs w:val="21"/>
          <w:lang w:val="zh-CN"/>
        </w:rPr>
        <w:t>12.投标文件的编制要求</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14:paraId="344A65B3">
      <w:pPr>
        <w:autoSpaceDE w:val="0"/>
        <w:autoSpaceDN w:val="0"/>
        <w:spacing w:line="360" w:lineRule="auto"/>
        <w:ind w:firstLine="420" w:firstLineChars="200"/>
        <w:rPr>
          <w:rFonts w:ascii="宋体" w:hAnsi="宋体" w:cs="宋体"/>
          <w:sz w:val="21"/>
          <w:szCs w:val="21"/>
        </w:rPr>
      </w:pPr>
      <w:r>
        <w:rPr>
          <w:rFonts w:hint="eastAsia" w:ascii="宋体" w:hAnsi="宋体" w:cs="宋体"/>
          <w:kern w:val="0"/>
          <w:sz w:val="21"/>
          <w:szCs w:val="21"/>
          <w:lang w:val="zh-CN"/>
        </w:rPr>
        <w:t>12.1</w:t>
      </w:r>
      <w:r>
        <w:rPr>
          <w:rFonts w:hint="eastAsia" w:ascii="宋体" w:hAnsi="宋体" w:cs="宋体"/>
          <w:kern w:val="0"/>
          <w:sz w:val="21"/>
          <w:szCs w:val="21"/>
        </w:rPr>
        <w:t xml:space="preserve"> </w:t>
      </w:r>
      <w:r>
        <w:rPr>
          <w:rFonts w:hint="eastAsia" w:ascii="宋体" w:hAnsi="宋体" w:cs="宋体"/>
          <w:kern w:val="0"/>
          <w:sz w:val="21"/>
          <w:szCs w:val="21"/>
          <w:lang w:val="zh-CN"/>
        </w:rPr>
        <w:t>投标人应按照招标文件所提供的投标文件格式，分别填写招标文件第四部分的内容，应分别注明所提供产品的名称、技术配置及参数、数量和价格等内容</w:t>
      </w:r>
      <w:r>
        <w:rPr>
          <w:rFonts w:hint="eastAsia" w:ascii="宋体" w:hAnsi="宋体" w:cs="宋体"/>
          <w:sz w:val="21"/>
          <w:szCs w:val="21"/>
        </w:rPr>
        <w:t>。</w:t>
      </w:r>
    </w:p>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14:paraId="35881139">
      <w:pPr>
        <w:pStyle w:val="5"/>
        <w:ind w:firstLine="422"/>
        <w:jc w:val="center"/>
        <w:rPr>
          <w:rFonts w:ascii="宋体" w:hAnsi="宋体" w:cs="宋体"/>
          <w:sz w:val="21"/>
          <w:szCs w:val="21"/>
          <w:lang w:val="zh-CN"/>
        </w:rPr>
      </w:pPr>
      <w:bookmarkStart w:id="406" w:name="_Toc1477"/>
      <w:bookmarkStart w:id="407" w:name="_Toc15982"/>
      <w:bookmarkStart w:id="408" w:name="_Toc17709"/>
      <w:bookmarkStart w:id="409" w:name="_Toc24831"/>
      <w:bookmarkStart w:id="410" w:name="_Toc20469_WPSOffice_Level2"/>
      <w:bookmarkStart w:id="411" w:name="_Toc2084"/>
      <w:bookmarkStart w:id="412" w:name="_Toc31009_WPSOffice_Level2"/>
      <w:bookmarkStart w:id="413" w:name="_Toc31566"/>
      <w:bookmarkStart w:id="414" w:name="_Toc29305"/>
      <w:bookmarkStart w:id="415" w:name="_Toc1279"/>
      <w:bookmarkStart w:id="416" w:name="_Toc27226"/>
      <w:bookmarkStart w:id="417" w:name="_Toc6508"/>
      <w:bookmarkStart w:id="418" w:name="_Toc29124"/>
      <w:bookmarkStart w:id="419" w:name="_Toc29613"/>
      <w:bookmarkStart w:id="420" w:name="_Toc1836"/>
      <w:bookmarkStart w:id="421" w:name="_Toc32294"/>
      <w:bookmarkStart w:id="422" w:name="_Toc22338"/>
      <w:bookmarkStart w:id="423" w:name="_Toc4856"/>
      <w:bookmarkStart w:id="424" w:name="_Toc5404"/>
      <w:bookmarkStart w:id="425" w:name="_Toc32092"/>
      <w:bookmarkStart w:id="426" w:name="_Toc18593"/>
      <w:bookmarkStart w:id="427" w:name="_Toc32148"/>
      <w:bookmarkStart w:id="428" w:name="_Toc6758"/>
      <w:bookmarkStart w:id="429" w:name="_Toc10217"/>
      <w:r>
        <w:rPr>
          <w:rFonts w:hint="eastAsia" w:ascii="宋体" w:hAnsi="宋体" w:cs="宋体"/>
          <w:sz w:val="21"/>
          <w:szCs w:val="21"/>
          <w:lang w:val="zh-CN"/>
        </w:rPr>
        <w:t>四、投标文件的提交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39D6DFD0">
      <w:pPr>
        <w:spacing w:line="360" w:lineRule="auto"/>
        <w:outlineLvl w:val="2"/>
        <w:rPr>
          <w:rFonts w:ascii="宋体" w:hAnsi="宋体" w:cs="宋体"/>
          <w:b/>
          <w:bCs/>
          <w:sz w:val="21"/>
          <w:szCs w:val="21"/>
          <w:lang w:val="zh-CN"/>
        </w:rPr>
      </w:pPr>
      <w:bookmarkStart w:id="430" w:name="_Toc30044"/>
      <w:bookmarkStart w:id="431" w:name="_Toc30776"/>
      <w:bookmarkStart w:id="432" w:name="_Toc6216"/>
      <w:bookmarkStart w:id="433" w:name="_Toc23866"/>
      <w:bookmarkStart w:id="434" w:name="_Toc14723"/>
      <w:bookmarkStart w:id="435" w:name="_Toc10680"/>
      <w:bookmarkStart w:id="436" w:name="_Toc22172"/>
      <w:bookmarkStart w:id="437" w:name="_Toc15957"/>
      <w:bookmarkStart w:id="438" w:name="_Toc2974"/>
      <w:bookmarkStart w:id="439" w:name="_Toc2322"/>
      <w:bookmarkStart w:id="440" w:name="_Toc26032"/>
      <w:bookmarkStart w:id="441" w:name="_Toc10738"/>
      <w:bookmarkStart w:id="442" w:name="_Toc18640"/>
      <w:bookmarkStart w:id="443" w:name="_Toc3510_WPSOffice_Level3"/>
      <w:bookmarkStart w:id="444" w:name="_Toc28927"/>
      <w:bookmarkStart w:id="445" w:name="_Toc9327"/>
      <w:bookmarkStart w:id="446" w:name="_Toc6767"/>
      <w:bookmarkStart w:id="447" w:name="_Toc13424"/>
      <w:bookmarkStart w:id="448" w:name="_Toc17214"/>
      <w:bookmarkStart w:id="449" w:name="_Toc15700"/>
      <w:bookmarkStart w:id="450" w:name="_Toc10379"/>
      <w:bookmarkStart w:id="451" w:name="_Toc7233"/>
      <w:bookmarkStart w:id="452" w:name="_Toc22935"/>
      <w:bookmarkStart w:id="453" w:name="_Toc8695"/>
      <w:bookmarkStart w:id="454" w:name="_Toc24689"/>
      <w:bookmarkStart w:id="455" w:name="_Toc22589"/>
      <w:bookmarkStart w:id="456" w:name="_Toc3502"/>
      <w:bookmarkStart w:id="457" w:name="_Toc19644"/>
      <w:bookmarkStart w:id="458" w:name="_Toc19916"/>
      <w:bookmarkStart w:id="459" w:name="_Toc10685"/>
      <w:bookmarkStart w:id="460" w:name="_Toc1040"/>
      <w:bookmarkStart w:id="461" w:name="_Toc15896"/>
      <w:bookmarkStart w:id="462" w:name="_Toc4251_WPSOffice_Level2"/>
      <w:bookmarkStart w:id="463" w:name="_Toc12284"/>
      <w:bookmarkStart w:id="464" w:name="_Toc27015"/>
      <w:bookmarkStart w:id="465" w:name="_Toc31690"/>
      <w:bookmarkStart w:id="466" w:name="_Toc23700"/>
      <w:bookmarkStart w:id="467" w:name="_Toc30115"/>
      <w:bookmarkStart w:id="468" w:name="_Toc17783"/>
      <w:bookmarkStart w:id="469" w:name="_Toc162"/>
      <w:bookmarkStart w:id="470" w:name="_Toc31826"/>
      <w:bookmarkStart w:id="471" w:name="_Toc13707"/>
      <w:bookmarkStart w:id="472" w:name="_Toc4889"/>
      <w:bookmarkStart w:id="473" w:name="_Toc22763_WPSOffice_Level2"/>
      <w:r>
        <w:rPr>
          <w:rFonts w:hint="eastAsia" w:ascii="宋体" w:hAnsi="宋体" w:cs="宋体"/>
          <w:b/>
          <w:bCs/>
          <w:sz w:val="21"/>
          <w:szCs w:val="21"/>
          <w:lang w:val="zh-CN"/>
        </w:rPr>
        <w:t>13</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rFonts w:hint="eastAsia" w:ascii="宋体" w:hAnsi="宋体" w:cs="宋体"/>
          <w:b/>
          <w:bCs/>
          <w:sz w:val="21"/>
          <w:szCs w:val="21"/>
          <w:lang w:val="en-US" w:eastAsia="zh-CN"/>
        </w:rPr>
        <w:t>.</w:t>
      </w:r>
      <w:r>
        <w:rPr>
          <w:rFonts w:hint="eastAsia" w:ascii="宋体" w:hAnsi="宋体" w:cs="宋体"/>
          <w:b/>
          <w:bCs/>
          <w:sz w:val="21"/>
          <w:szCs w:val="21"/>
          <w:lang w:val="zh-CN"/>
        </w:rPr>
        <w:t>电子化投标文件的格式及上传投标</w:t>
      </w:r>
      <w:bookmarkEnd w:id="450"/>
      <w:bookmarkEnd w:id="451"/>
      <w:r>
        <w:rPr>
          <w:rFonts w:hint="eastAsia" w:ascii="宋体" w:hAnsi="宋体" w:cs="宋体"/>
          <w:b/>
          <w:bCs/>
          <w:sz w:val="21"/>
          <w:szCs w:val="21"/>
          <w:lang w:val="zh-CN"/>
        </w:rPr>
        <w:t xml:space="preserve"> </w:t>
      </w:r>
    </w:p>
    <w:p w14:paraId="6B986528">
      <w:pPr>
        <w:autoSpaceDE w:val="0"/>
        <w:autoSpaceDN w:val="0"/>
        <w:spacing w:line="360" w:lineRule="auto"/>
        <w:ind w:firstLine="420" w:firstLineChars="200"/>
        <w:rPr>
          <w:rFonts w:ascii="宋体" w:hAnsi="宋体" w:cs="宋体"/>
          <w:kern w:val="0"/>
          <w:sz w:val="21"/>
          <w:szCs w:val="21"/>
          <w:lang w:val="zh-CN"/>
        </w:rPr>
      </w:pPr>
      <w:bookmarkStart w:id="474" w:name="_Toc30978"/>
      <w:bookmarkStart w:id="475" w:name="_Toc15462"/>
      <w:bookmarkStart w:id="476" w:name="_Toc29988"/>
      <w:bookmarkStart w:id="477" w:name="_Toc955"/>
      <w:bookmarkStart w:id="478" w:name="_Toc847"/>
      <w:bookmarkStart w:id="479" w:name="_Toc2946"/>
      <w:bookmarkStart w:id="480" w:name="_Toc30590"/>
      <w:bookmarkStart w:id="481" w:name="_Toc9653"/>
      <w:bookmarkStart w:id="482" w:name="_Toc23078"/>
      <w:bookmarkStart w:id="483" w:name="_Toc14200"/>
      <w:bookmarkStart w:id="484" w:name="_Toc10227"/>
      <w:bookmarkStart w:id="485" w:name="_Toc15457355"/>
      <w:bookmarkStart w:id="486" w:name="_Toc30547"/>
      <w:bookmarkStart w:id="487" w:name="_Toc25597_WPSOffice_Level3"/>
      <w:bookmarkStart w:id="488" w:name="_Toc32718"/>
      <w:bookmarkStart w:id="489" w:name="_Toc9546"/>
      <w:bookmarkStart w:id="490" w:name="_Toc15261"/>
      <w:bookmarkStart w:id="491" w:name="_Toc13986"/>
      <w:bookmarkStart w:id="492" w:name="_Toc25571"/>
      <w:bookmarkStart w:id="493" w:name="_Toc31024"/>
      <w:bookmarkStart w:id="494" w:name="_Toc30952"/>
      <w:r>
        <w:rPr>
          <w:rFonts w:hint="eastAsia" w:ascii="宋体" w:hAnsi="宋体" w:cs="宋体"/>
          <w:kern w:val="0"/>
          <w:sz w:val="21"/>
          <w:szCs w:val="21"/>
          <w:lang w:val="zh-CN"/>
        </w:rPr>
        <w:t>13.1本项目为电子化交易项目，投标文件是投标人、供应商（以下简称“投标人”）通过中心投标文件制作系统制作，并经过电子签章和加密后生成的电子版投标文件。投标人投标时，需要上传电子版投标文件。</w:t>
      </w:r>
    </w:p>
    <w:p w14:paraId="4B70BF4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电子化投标文件具体制作教材请投标人通过CA证书登录平顶山市公共资源电子化交易网在 “组件下载”中查看。</w:t>
      </w:r>
    </w:p>
    <w:p w14:paraId="5C277076">
      <w:pPr>
        <w:autoSpaceDE w:val="0"/>
        <w:autoSpaceDN w:val="0"/>
        <w:spacing w:line="360" w:lineRule="auto"/>
        <w:ind w:firstLine="422" w:firstLineChars="200"/>
        <w:rPr>
          <w:rFonts w:ascii="宋体" w:hAnsi="宋体" w:cs="宋体"/>
          <w:b/>
          <w:kern w:val="0"/>
          <w:sz w:val="21"/>
          <w:szCs w:val="21"/>
          <w:lang w:val="zh-CN"/>
        </w:rPr>
      </w:pPr>
      <w:r>
        <w:rPr>
          <w:rFonts w:hint="eastAsia" w:ascii="宋体" w:hAnsi="宋体" w:cs="宋体"/>
          <w:b/>
          <w:kern w:val="0"/>
          <w:sz w:val="21"/>
          <w:szCs w:val="21"/>
          <w:lang w:val="zh-CN"/>
        </w:rPr>
        <w:t>温馨提示：本项目为电子化交易项目，开标时需上传电子版投标文件，为保证您能投标成功，请仔细阅读以下条款。</w:t>
      </w:r>
    </w:p>
    <w:p w14:paraId="796F581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13.1.1电子化投标文件的签章</w:t>
      </w:r>
    </w:p>
    <w:p w14:paraId="0BC9708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（1）投标人在生成电子化投标文件后，应对电子化投标文件进行签章，未进行签章的视为无效投标。</w:t>
      </w:r>
    </w:p>
    <w:p w14:paraId="4A9D0C5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招标文件中要求法定代表人或授权委托人签字或盖章的，投标人在进行电子化投标文件签章时，以签盖法定代表人签章为准。电子化投标文件具体制作教材请投标人通过CA证书登录平顶山市公共资源电子化交易网在右上角“组件下载”中查看。</w:t>
      </w:r>
    </w:p>
    <w:p w14:paraId="38C1EFC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13.1.2电子化投标文件的格式及上传投标</w:t>
      </w:r>
    </w:p>
    <w:p w14:paraId="5E5E3256">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投标人所上传的电子化投标文件，应是通过中心投标文件制作系统制作的，经过签章和加密后生成的电子版投标文件。生成的电子版投标文件包含用于投标文件上传的主文件（文件格式为：xxx公司+项目编号.file）和用于应急补救的投标文件备份文件（文件格式为：xxx公司+项目编号.bin），备份文件主要用于电子化开标出现技术问题后的补救，请投标人随身携带。</w:t>
      </w:r>
    </w:p>
    <w:p w14:paraId="58FC51F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注：投标人投报多个标段的，所生成的电子化投标文件仍为一个电子文件，投标人制作电子化投标文件时应将所报标段全部勾选后制作生成。</w:t>
      </w:r>
    </w:p>
    <w:p w14:paraId="1D9C403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（2）电子化投标文件应在投标截止时间前成功上传至平顶山市公共资源电子化交易系统。至投标截止时间止，仍未上传成功的电子化投标文件将不予接收。</w:t>
      </w:r>
    </w:p>
    <w:p w14:paraId="747201F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注：如按照电子化投标操作教材制作完成的电子化投标文件无法上传的，投标人应在投标截止时间前尽早地联系中心技术人员，以便有充分的时间进行处理。投标人应充分考虑到处理技术问题和上传数据等工作所需的时间问题，投标文件未在投标截止时间前成功上传的，其投标文件不予接收。</w:t>
      </w:r>
    </w:p>
    <w:p w14:paraId="0B4826EA">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13.1.3电子化项目开标、解密、唱标、评标</w:t>
      </w:r>
    </w:p>
    <w:p w14:paraId="416E281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（1）电子化项目开标、解密、唱标详见本章16.3不见面开标程序。</w:t>
      </w:r>
    </w:p>
    <w:p w14:paraId="3BA8AF6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（2）评标时，评标委员会对电子化投标文件有质疑的，将通过电子化交易系统对投标人发起质疑。</w:t>
      </w:r>
    </w:p>
    <w:p w14:paraId="26A665A9">
      <w:pPr>
        <w:spacing w:line="360" w:lineRule="auto"/>
        <w:outlineLvl w:val="2"/>
        <w:rPr>
          <w:rFonts w:ascii="宋体" w:hAnsi="宋体" w:cs="宋体"/>
          <w:b/>
          <w:bCs/>
          <w:sz w:val="21"/>
          <w:szCs w:val="21"/>
          <w:lang w:val="zh-CN"/>
        </w:rPr>
      </w:pPr>
      <w:bookmarkStart w:id="495" w:name="_Toc32089"/>
      <w:bookmarkStart w:id="496" w:name="_Toc985"/>
      <w:r>
        <w:rPr>
          <w:rFonts w:hint="eastAsia" w:ascii="宋体" w:hAnsi="宋体" w:cs="宋体"/>
          <w:b/>
          <w:bCs/>
          <w:sz w:val="21"/>
          <w:szCs w:val="21"/>
          <w:lang w:val="zh-CN"/>
        </w:rPr>
        <w:t>14.提交投标文件的时间、地点、方式</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01B0E4FC">
      <w:pPr>
        <w:autoSpaceDE w:val="0"/>
        <w:autoSpaceDN w:val="0"/>
        <w:spacing w:line="360" w:lineRule="auto"/>
        <w:ind w:firstLine="420" w:firstLineChars="200"/>
        <w:rPr>
          <w:rFonts w:ascii="宋体" w:hAnsi="宋体" w:cs="宋体"/>
          <w:kern w:val="0"/>
          <w:sz w:val="21"/>
          <w:szCs w:val="21"/>
          <w:lang w:val="zh-CN"/>
        </w:rPr>
      </w:pPr>
      <w:bookmarkStart w:id="497" w:name="_Toc19282"/>
      <w:bookmarkStart w:id="498" w:name="_Toc28490"/>
      <w:bookmarkStart w:id="499" w:name="_Toc3797"/>
      <w:bookmarkStart w:id="500" w:name="_Toc28628_WPSOffice_Level3"/>
      <w:bookmarkStart w:id="501" w:name="_Toc21631"/>
      <w:bookmarkStart w:id="502" w:name="_Toc7446"/>
      <w:bookmarkStart w:id="503" w:name="_Toc10304"/>
      <w:bookmarkStart w:id="504" w:name="_Toc21306"/>
      <w:bookmarkStart w:id="505" w:name="_Toc11352"/>
      <w:bookmarkStart w:id="506" w:name="_Toc13553"/>
      <w:bookmarkStart w:id="507" w:name="_Toc19918"/>
      <w:bookmarkStart w:id="508" w:name="_Toc26054"/>
      <w:bookmarkStart w:id="509" w:name="_Toc12071"/>
      <w:bookmarkStart w:id="510" w:name="_Toc26814"/>
      <w:bookmarkStart w:id="511" w:name="_Toc7384"/>
      <w:bookmarkStart w:id="512" w:name="_Toc22403"/>
      <w:bookmarkStart w:id="513" w:name="_Toc4491"/>
      <w:bookmarkStart w:id="514" w:name="_Toc15457356"/>
      <w:bookmarkStart w:id="515" w:name="_Toc1860"/>
      <w:bookmarkStart w:id="516" w:name="_Toc32259"/>
      <w:bookmarkStart w:id="517" w:name="_Toc29383"/>
      <w:r>
        <w:rPr>
          <w:rFonts w:hint="eastAsia" w:ascii="宋体" w:hAnsi="宋体" w:cs="宋体"/>
          <w:kern w:val="0"/>
          <w:sz w:val="21"/>
          <w:szCs w:val="21"/>
          <w:lang w:val="zh-CN"/>
        </w:rPr>
        <w:t>14.1开标时间及地点见投标人须知前附表。</w:t>
      </w:r>
      <w:r>
        <w:rPr>
          <w:rFonts w:hint="eastAsia" w:ascii="宋体" w:hAnsi="宋体" w:cs="宋体"/>
          <w:b/>
          <w:kern w:val="0"/>
          <w:sz w:val="21"/>
          <w:szCs w:val="21"/>
          <w:lang w:val="zh-CN"/>
        </w:rPr>
        <w:t>（本项目全面实行在线“不见面”开标，投标人远程在线解密投标文件，不再到开标现场，投标人开标前应仔细阅读《“不见面”开标注意事项及操作流程》。）</w:t>
      </w:r>
    </w:p>
    <w:p w14:paraId="3714274B">
      <w:pPr>
        <w:spacing w:line="360" w:lineRule="auto"/>
        <w:outlineLvl w:val="2"/>
        <w:rPr>
          <w:rFonts w:ascii="宋体" w:hAnsi="宋体" w:cs="宋体"/>
          <w:b/>
          <w:bCs/>
          <w:sz w:val="21"/>
          <w:szCs w:val="21"/>
          <w:lang w:val="zh-CN"/>
        </w:rPr>
      </w:pPr>
      <w:bookmarkStart w:id="518" w:name="_Toc21703"/>
      <w:bookmarkStart w:id="519" w:name="_Toc32762"/>
      <w:r>
        <w:rPr>
          <w:rFonts w:hint="eastAsia" w:ascii="宋体" w:hAnsi="宋体" w:cs="宋体"/>
          <w:b/>
          <w:bCs/>
          <w:sz w:val="21"/>
          <w:szCs w:val="21"/>
          <w:lang w:val="zh-CN"/>
        </w:rPr>
        <w:t>15.投标文件的补充、修改或者撤回</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116D037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15.1 投标人在投标截止时间前，可以对所递交的投标文件进行补充、修改或者撤回，并书面通知采购人或者采购代理机构。补充、修改的内容应当按照采购文件要求签字、盖章、密封后，作为投标文件的组成部分。</w:t>
      </w:r>
    </w:p>
    <w:p w14:paraId="5E95EEBE">
      <w:pPr>
        <w:pStyle w:val="5"/>
        <w:ind w:firstLine="422"/>
        <w:jc w:val="center"/>
        <w:rPr>
          <w:rFonts w:ascii="宋体" w:hAnsi="宋体" w:cs="宋体"/>
          <w:sz w:val="21"/>
          <w:szCs w:val="21"/>
          <w:lang w:val="zh-CN"/>
        </w:rPr>
      </w:pPr>
      <w:bookmarkStart w:id="520" w:name="_Toc2193"/>
      <w:bookmarkStart w:id="521" w:name="_Toc10090"/>
      <w:r>
        <w:rPr>
          <w:rFonts w:hint="eastAsia" w:ascii="宋体" w:hAnsi="宋体" w:cs="宋体"/>
          <w:sz w:val="21"/>
          <w:szCs w:val="21"/>
          <w:lang w:val="zh-CN"/>
        </w:rPr>
        <w:t>五、开标</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520"/>
      <w:bookmarkEnd w:id="521"/>
    </w:p>
    <w:p w14:paraId="41FED803">
      <w:pPr>
        <w:spacing w:line="360" w:lineRule="auto"/>
        <w:outlineLvl w:val="2"/>
        <w:rPr>
          <w:rFonts w:ascii="宋体" w:hAnsi="宋体" w:cs="宋体"/>
          <w:b/>
          <w:bCs/>
          <w:sz w:val="21"/>
          <w:szCs w:val="21"/>
          <w:lang w:val="zh-CN"/>
        </w:rPr>
      </w:pPr>
      <w:bookmarkStart w:id="522" w:name="_Toc31230_WPSOffice_Level3"/>
      <w:bookmarkStart w:id="523" w:name="_Toc8395"/>
      <w:bookmarkStart w:id="524" w:name="_Toc18000"/>
      <w:bookmarkStart w:id="525" w:name="_Toc16687"/>
      <w:bookmarkStart w:id="526" w:name="_Toc26760"/>
      <w:bookmarkStart w:id="527" w:name="_Toc30384"/>
      <w:bookmarkStart w:id="528" w:name="_Toc12009"/>
      <w:bookmarkStart w:id="529" w:name="_Toc23211"/>
      <w:bookmarkStart w:id="530" w:name="_Toc28043"/>
      <w:bookmarkStart w:id="531" w:name="_Toc131"/>
      <w:bookmarkStart w:id="532" w:name="_Toc8983"/>
      <w:bookmarkStart w:id="533" w:name="_Toc4294"/>
      <w:bookmarkStart w:id="534" w:name="_Toc31057"/>
      <w:bookmarkStart w:id="535" w:name="_Toc100"/>
      <w:bookmarkStart w:id="536" w:name="_Toc7745"/>
      <w:bookmarkStart w:id="537" w:name="_Toc2482"/>
      <w:bookmarkStart w:id="538" w:name="_Toc15126"/>
      <w:bookmarkStart w:id="539" w:name="_Toc5698"/>
      <w:bookmarkStart w:id="540" w:name="_Toc19412"/>
      <w:bookmarkStart w:id="541" w:name="_Toc10898"/>
      <w:bookmarkStart w:id="542" w:name="_Toc26299"/>
      <w:bookmarkStart w:id="543" w:name="_Toc13973"/>
      <w:bookmarkStart w:id="544" w:name="_Toc31327"/>
      <w:r>
        <w:rPr>
          <w:rFonts w:hint="eastAsia" w:ascii="宋体" w:hAnsi="宋体" w:cs="宋体"/>
          <w:b/>
          <w:bCs/>
          <w:sz w:val="21"/>
          <w:szCs w:val="21"/>
          <w:lang w:val="zh-CN"/>
        </w:rPr>
        <w:t>16.开标</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14:paraId="3F6EDF1E">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16.1</w:t>
      </w:r>
      <w:r>
        <w:rPr>
          <w:rFonts w:hint="eastAsia" w:ascii="宋体" w:hAnsi="宋体" w:cs="宋体"/>
          <w:kern w:val="0"/>
          <w:sz w:val="21"/>
          <w:szCs w:val="21"/>
        </w:rPr>
        <w:t xml:space="preserve"> </w:t>
      </w:r>
      <w:r>
        <w:rPr>
          <w:rFonts w:hint="eastAsia" w:ascii="宋体" w:hAnsi="宋体" w:cs="宋体"/>
          <w:kern w:val="0"/>
          <w:sz w:val="21"/>
          <w:szCs w:val="21"/>
          <w:lang w:val="zh-CN"/>
        </w:rPr>
        <w:t>开标应当在招标文件确定的提交投标文件截止时间的同一时间进行。采购代理机构应当按本文件中确定的时间和地点组织开标活动。</w:t>
      </w:r>
    </w:p>
    <w:p w14:paraId="2150619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16.2</w:t>
      </w:r>
      <w:r>
        <w:rPr>
          <w:rFonts w:hint="eastAsia" w:ascii="宋体" w:hAnsi="宋体" w:cs="宋体"/>
          <w:kern w:val="0"/>
          <w:sz w:val="21"/>
          <w:szCs w:val="21"/>
        </w:rPr>
        <w:t xml:space="preserve"> </w:t>
      </w:r>
      <w:r>
        <w:rPr>
          <w:rFonts w:hint="eastAsia" w:ascii="宋体" w:hAnsi="宋体" w:cs="宋体"/>
          <w:sz w:val="21"/>
          <w:szCs w:val="21"/>
          <w:shd w:val="clear" w:color="auto" w:fill="FFFFFF"/>
        </w:rPr>
        <w:t>开标由</w:t>
      </w:r>
      <w:r>
        <w:rPr>
          <w:rFonts w:hint="eastAsia" w:ascii="宋体" w:hAnsi="宋体" w:cs="宋体"/>
          <w:kern w:val="0"/>
          <w:sz w:val="21"/>
          <w:szCs w:val="21"/>
          <w:lang w:val="zh-CN"/>
        </w:rPr>
        <w:t>采购代理机构</w:t>
      </w:r>
      <w:r>
        <w:rPr>
          <w:rFonts w:hint="eastAsia" w:ascii="宋体" w:hAnsi="宋体" w:cs="宋体"/>
          <w:sz w:val="21"/>
          <w:szCs w:val="21"/>
          <w:shd w:val="clear" w:color="auto" w:fill="FFFFFF"/>
        </w:rPr>
        <w:t>主持，评标委员会成员（包括采购人代表）不得参加开标活动。</w:t>
      </w:r>
    </w:p>
    <w:p w14:paraId="05D99681">
      <w:pPr>
        <w:autoSpaceDE w:val="0"/>
        <w:autoSpaceDN w:val="0"/>
        <w:spacing w:line="360" w:lineRule="auto"/>
        <w:ind w:firstLine="422" w:firstLineChars="200"/>
        <w:rPr>
          <w:rFonts w:ascii="宋体" w:hAnsi="宋体" w:cs="宋体"/>
          <w:b/>
          <w:kern w:val="0"/>
          <w:sz w:val="21"/>
          <w:szCs w:val="21"/>
          <w:lang w:val="zh-CN"/>
        </w:rPr>
      </w:pPr>
      <w:r>
        <w:rPr>
          <w:rFonts w:hint="eastAsia" w:ascii="宋体" w:hAnsi="宋体" w:cs="宋体"/>
          <w:b/>
          <w:kern w:val="0"/>
          <w:sz w:val="21"/>
          <w:szCs w:val="21"/>
          <w:lang w:val="zh-CN"/>
        </w:rPr>
        <w:t xml:space="preserve">16.3 </w:t>
      </w:r>
      <w:bookmarkStart w:id="545" w:name="_Toc18471"/>
      <w:bookmarkStart w:id="546" w:name="_Toc12700"/>
      <w:r>
        <w:rPr>
          <w:rFonts w:hint="eastAsia" w:ascii="宋体" w:hAnsi="宋体" w:cs="宋体"/>
          <w:b/>
          <w:kern w:val="0"/>
          <w:sz w:val="21"/>
          <w:szCs w:val="21"/>
          <w:lang w:val="zh-CN"/>
        </w:rPr>
        <w:t>不见面开标程序</w:t>
      </w:r>
      <w:bookmarkEnd w:id="545"/>
      <w:bookmarkEnd w:id="546"/>
      <w:r>
        <w:rPr>
          <w:rFonts w:hint="eastAsia" w:ascii="宋体" w:hAnsi="宋体" w:cs="宋体"/>
          <w:b/>
          <w:kern w:val="0"/>
          <w:sz w:val="21"/>
          <w:szCs w:val="21"/>
          <w:lang w:val="zh-CN"/>
        </w:rPr>
        <w:t>：</w:t>
      </w:r>
    </w:p>
    <w:p w14:paraId="0534D738">
      <w:pPr>
        <w:autoSpaceDE w:val="0"/>
        <w:autoSpaceDN w:val="0"/>
        <w:spacing w:line="360" w:lineRule="auto"/>
        <w:ind w:firstLine="422" w:firstLineChars="200"/>
        <w:rPr>
          <w:rFonts w:ascii="宋体" w:hAnsi="宋体" w:cs="宋体"/>
          <w:b/>
          <w:kern w:val="0"/>
          <w:sz w:val="21"/>
          <w:szCs w:val="21"/>
          <w:lang w:val="zh-CN"/>
        </w:rPr>
      </w:pPr>
      <w:r>
        <w:rPr>
          <w:rFonts w:hint="eastAsia" w:ascii="宋体" w:hAnsi="宋体" w:cs="宋体"/>
          <w:b/>
          <w:kern w:val="0"/>
          <w:sz w:val="21"/>
          <w:szCs w:val="21"/>
          <w:lang w:val="zh-CN"/>
        </w:rPr>
        <w:t>16.3.1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w:t>
      </w:r>
    </w:p>
    <w:p w14:paraId="495EFD32">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16.3.2如出现投标人的电子投标文件无法解密的情况，投标人应及时联系招标人（代理机构）进行说明。投标文件解密异常，按以下步骤进行处理：</w:t>
      </w:r>
    </w:p>
    <w:p w14:paraId="782892E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（1）如果投标文件自身问题导致投标文件无法解密的，该投标文件将不予接收、解密。</w:t>
      </w:r>
    </w:p>
    <w:p w14:paraId="4F274BE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（2）如果是电子化交易系统问题造成投标文件无法解密的，将由技术人员进行排查处理。如短时间内问题无法解决的，将由招标人（代理机构）联系监督部门申请暂停开标，待问题解决后继续开标。</w:t>
      </w:r>
    </w:p>
    <w:p w14:paraId="5A34D21A">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16.3.3所有投标文件解密完成后，由招标人（代理机构）操作，对开标结果进行公示。</w:t>
      </w:r>
    </w:p>
    <w:p w14:paraId="03E1ABE3">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16.3.4投标人应保证在开标期间电话、电脑、网络等能够正常使用，投标人因停电、电脑病毒、网络堵塞等原因，未在规定的解密时间内对投标文件进行解密的，其投标文件不予接收。</w:t>
      </w:r>
    </w:p>
    <w:p w14:paraId="06DA5F2A">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16.3.5解密完成后，投标人可登录到交易系统查看自己的投标报价。如对自己的报价内容有异议的，应在报价内容显示后20分钟内联系招标人（代理机构）进行质疑，投标人未在规定时间内提出质疑的，视为认可开标结果显示内容。</w:t>
      </w:r>
    </w:p>
    <w:p w14:paraId="7C3D5B7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16.3.6具体操作流程投标人需仔细阅读平顶山市交易中心网站《“不见面”开标注意事项及操作流程》。</w:t>
      </w:r>
    </w:p>
    <w:p w14:paraId="3EFD713A">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16.4 投标人代表对开标过程和开标记录有疑义，以及认为采购人、采购代理机构相关工作人员有需要回避的情形的，应当场提出询问或者回避申请。采购人、采购代理机构对投标人代表提出的询问或者回避申请应当及时处理。投标人未参加开标的，视同认可开标结果。</w:t>
      </w:r>
    </w:p>
    <w:p w14:paraId="69FE738C">
      <w:pPr>
        <w:pStyle w:val="5"/>
        <w:spacing w:line="360" w:lineRule="auto"/>
        <w:ind w:firstLine="422"/>
        <w:jc w:val="center"/>
        <w:rPr>
          <w:rFonts w:ascii="宋体" w:hAnsi="宋体" w:cs="宋体"/>
          <w:sz w:val="21"/>
          <w:szCs w:val="21"/>
          <w:lang w:val="zh-CN"/>
        </w:rPr>
      </w:pPr>
      <w:bookmarkStart w:id="547" w:name="_Toc2697"/>
      <w:bookmarkStart w:id="548" w:name="_Toc6945"/>
      <w:bookmarkStart w:id="549" w:name="_Toc496004006"/>
      <w:bookmarkStart w:id="550" w:name="_Toc4159"/>
      <w:bookmarkStart w:id="551" w:name="_Toc31012"/>
      <w:bookmarkStart w:id="552" w:name="_Toc20323"/>
      <w:bookmarkStart w:id="553" w:name="_Toc15121"/>
      <w:bookmarkStart w:id="554" w:name="_Toc15629"/>
      <w:bookmarkStart w:id="555" w:name="_Toc23146"/>
      <w:bookmarkStart w:id="556" w:name="_Toc20602"/>
      <w:bookmarkStart w:id="557" w:name="_Toc27400"/>
      <w:bookmarkStart w:id="558" w:name="_Toc12770"/>
      <w:bookmarkStart w:id="559" w:name="_Toc12550"/>
      <w:bookmarkStart w:id="560" w:name="_Toc21595"/>
      <w:bookmarkStart w:id="561" w:name="_Toc20703"/>
      <w:bookmarkStart w:id="562" w:name="_Toc3510_WPSOffice_Level2"/>
      <w:bookmarkStart w:id="563" w:name="_Toc6810"/>
      <w:bookmarkStart w:id="564" w:name="_Toc6248_WPSOffice_Level2"/>
      <w:bookmarkStart w:id="565" w:name="_Toc4614"/>
      <w:bookmarkStart w:id="566" w:name="_Toc6086"/>
      <w:bookmarkStart w:id="567" w:name="_Toc8100"/>
      <w:bookmarkStart w:id="568" w:name="_Toc18585"/>
      <w:bookmarkStart w:id="569" w:name="_Toc24458"/>
      <w:bookmarkStart w:id="570" w:name="_Toc23082"/>
      <w:bookmarkStart w:id="571" w:name="_Toc17494"/>
      <w:r>
        <w:rPr>
          <w:rFonts w:hint="eastAsia" w:ascii="宋体" w:hAnsi="宋体" w:cs="宋体"/>
          <w:sz w:val="21"/>
          <w:szCs w:val="21"/>
          <w:lang w:val="zh-CN"/>
        </w:rPr>
        <w:t>六、资格审查程序</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6723C5F4">
      <w:pPr>
        <w:spacing w:line="360" w:lineRule="auto"/>
        <w:outlineLvl w:val="2"/>
        <w:rPr>
          <w:rFonts w:ascii="宋体" w:hAnsi="宋体" w:cs="宋体"/>
          <w:b/>
          <w:bCs/>
          <w:sz w:val="21"/>
          <w:szCs w:val="21"/>
          <w:lang w:val="zh-CN"/>
        </w:rPr>
      </w:pPr>
      <w:bookmarkStart w:id="572" w:name="_Toc15215"/>
      <w:bookmarkStart w:id="573" w:name="_Toc18340"/>
      <w:bookmarkStart w:id="574" w:name="_Toc21939"/>
      <w:bookmarkStart w:id="575" w:name="_Toc17891"/>
      <w:bookmarkStart w:id="576" w:name="_Toc11353"/>
      <w:bookmarkStart w:id="577" w:name="_Toc10700"/>
      <w:bookmarkStart w:id="578" w:name="_Toc27309"/>
      <w:bookmarkStart w:id="579" w:name="_Toc4514"/>
      <w:bookmarkStart w:id="580" w:name="_Toc23893"/>
      <w:bookmarkStart w:id="581" w:name="_Toc4832"/>
      <w:bookmarkStart w:id="582" w:name="_Toc2373"/>
      <w:bookmarkStart w:id="583" w:name="_Toc1743"/>
      <w:bookmarkStart w:id="584" w:name="_Toc28039"/>
      <w:bookmarkStart w:id="585" w:name="_Toc32594"/>
      <w:bookmarkStart w:id="586" w:name="_Toc26911"/>
      <w:bookmarkStart w:id="587" w:name="_Toc31402"/>
      <w:bookmarkStart w:id="588" w:name="_Toc11258"/>
      <w:bookmarkStart w:id="589" w:name="_Toc32142"/>
      <w:bookmarkStart w:id="590" w:name="_Toc32666"/>
      <w:bookmarkStart w:id="591" w:name="_Toc8602"/>
      <w:bookmarkStart w:id="592" w:name="_Toc27384"/>
      <w:bookmarkStart w:id="593" w:name="_Toc1376_WPSOffice_Level3"/>
      <w:bookmarkStart w:id="594" w:name="_Toc5607"/>
      <w:r>
        <w:rPr>
          <w:rFonts w:hint="eastAsia" w:ascii="宋体" w:hAnsi="宋体" w:cs="宋体"/>
          <w:b/>
          <w:bCs/>
          <w:sz w:val="21"/>
          <w:szCs w:val="21"/>
          <w:lang w:val="zh-CN"/>
        </w:rPr>
        <w:t>17.资格审查</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176A20C7">
      <w:pPr>
        <w:autoSpaceDE w:val="0"/>
        <w:autoSpaceDN w:val="0"/>
        <w:spacing w:line="360" w:lineRule="auto"/>
        <w:ind w:firstLine="420" w:firstLineChars="200"/>
        <w:rPr>
          <w:rFonts w:ascii="宋体" w:hAnsi="宋体" w:cs="宋体"/>
          <w:kern w:val="0"/>
          <w:sz w:val="21"/>
          <w:szCs w:val="21"/>
        </w:rPr>
      </w:pPr>
      <w:bookmarkStart w:id="595" w:name="_Toc29422"/>
      <w:bookmarkStart w:id="596" w:name="_Toc7612"/>
      <w:bookmarkStart w:id="597" w:name="_Toc31170"/>
      <w:bookmarkStart w:id="598" w:name="_Toc30577"/>
      <w:bookmarkStart w:id="599" w:name="_Toc4744"/>
      <w:bookmarkStart w:id="600" w:name="_Toc998"/>
      <w:bookmarkStart w:id="601" w:name="_Toc21602"/>
      <w:bookmarkStart w:id="602" w:name="_Toc26353"/>
      <w:bookmarkStart w:id="603" w:name="_Toc2683"/>
      <w:bookmarkStart w:id="604" w:name="_Toc9838"/>
      <w:bookmarkStart w:id="605" w:name="_Toc29118"/>
      <w:bookmarkStart w:id="606" w:name="_Toc26258"/>
      <w:bookmarkStart w:id="607" w:name="_Toc21029"/>
      <w:bookmarkStart w:id="608" w:name="_Toc5976"/>
      <w:bookmarkStart w:id="609" w:name="_Toc25597_WPSOffice_Level2"/>
      <w:bookmarkStart w:id="610" w:name="_Toc15108_WPSOffice_Level2"/>
      <w:bookmarkStart w:id="611" w:name="_Toc4306"/>
      <w:bookmarkStart w:id="612" w:name="_Toc25821"/>
      <w:bookmarkStart w:id="613" w:name="_Toc32564"/>
      <w:bookmarkStart w:id="614" w:name="_Toc4305"/>
      <w:bookmarkStart w:id="615" w:name="_Toc19974"/>
      <w:bookmarkStart w:id="616" w:name="_Toc31834"/>
      <w:r>
        <w:rPr>
          <w:rFonts w:hint="eastAsia" w:ascii="宋体" w:hAnsi="宋体" w:cs="宋体"/>
          <w:kern w:val="0"/>
          <w:sz w:val="21"/>
          <w:szCs w:val="21"/>
        </w:rPr>
        <w:t>17.1 开标结束后，采购人或者采购代理机构应当依法对投标人的资格性进行审查。</w:t>
      </w:r>
    </w:p>
    <w:p w14:paraId="2E113B9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17.2 合格投标人不足3家的，不得评标。</w:t>
      </w:r>
    </w:p>
    <w:p w14:paraId="1A2DCC06">
      <w:pPr>
        <w:autoSpaceDE w:val="0"/>
        <w:autoSpaceDN w:val="0"/>
        <w:spacing w:line="360" w:lineRule="auto"/>
        <w:ind w:firstLine="420" w:firstLineChars="200"/>
        <w:rPr>
          <w:rFonts w:ascii="宋体" w:hAnsi="宋体" w:cs="宋体"/>
          <w:kern w:val="0"/>
          <w:sz w:val="21"/>
          <w:szCs w:val="21"/>
        </w:rPr>
      </w:pPr>
      <w:bookmarkStart w:id="617" w:name="_Toc497503249"/>
      <w:bookmarkStart w:id="618" w:name="_Toc497503449"/>
      <w:bookmarkStart w:id="619" w:name="_Toc30809"/>
      <w:bookmarkStart w:id="620" w:name="_Toc497503516"/>
      <w:bookmarkStart w:id="621" w:name="_Toc497503315"/>
      <w:r>
        <w:rPr>
          <w:rFonts w:hint="eastAsia" w:ascii="宋体" w:hAnsi="宋体" w:cs="宋体"/>
          <w:kern w:val="0"/>
          <w:sz w:val="21"/>
          <w:szCs w:val="21"/>
        </w:rPr>
        <w:t>17.3 投标人资格评审未通过的，其投标无效。资格审查标准如下：</w:t>
      </w:r>
      <w:bookmarkEnd w:id="617"/>
      <w:bookmarkEnd w:id="618"/>
      <w:bookmarkEnd w:id="619"/>
      <w:bookmarkEnd w:id="620"/>
      <w:bookmarkEnd w:id="621"/>
    </w:p>
    <w:tbl>
      <w:tblPr>
        <w:tblStyle w:val="29"/>
        <w:tblW w:w="50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1"/>
        <w:gridCol w:w="4986"/>
        <w:gridCol w:w="4360"/>
      </w:tblGrid>
      <w:tr w14:paraId="3650D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5" w:hRule="atLeast"/>
          <w:jc w:val="center"/>
        </w:trPr>
        <w:tc>
          <w:tcPr>
            <w:tcW w:w="288" w:type="pct"/>
            <w:vMerge w:val="restart"/>
            <w:vAlign w:val="center"/>
          </w:tcPr>
          <w:p w14:paraId="0A8DCA2B">
            <w:pPr>
              <w:spacing w:line="360" w:lineRule="auto"/>
              <w:jc w:val="center"/>
              <w:rPr>
                <w:rFonts w:ascii="宋体" w:hAnsi="宋体"/>
                <w:sz w:val="21"/>
                <w:szCs w:val="21"/>
              </w:rPr>
            </w:pPr>
            <w:r>
              <w:rPr>
                <w:rFonts w:ascii="宋体" w:hAnsi="宋体"/>
                <w:sz w:val="21"/>
                <w:szCs w:val="21"/>
              </w:rPr>
              <w:t>资格评审标准</w:t>
            </w:r>
          </w:p>
        </w:tc>
        <w:tc>
          <w:tcPr>
            <w:tcW w:w="2514" w:type="pct"/>
            <w:vAlign w:val="center"/>
          </w:tcPr>
          <w:p w14:paraId="2EE047F4">
            <w:pPr>
              <w:spacing w:line="360" w:lineRule="auto"/>
              <w:jc w:val="center"/>
              <w:rPr>
                <w:rFonts w:ascii="宋体" w:hAnsi="宋体"/>
                <w:sz w:val="21"/>
                <w:szCs w:val="21"/>
              </w:rPr>
            </w:pPr>
            <w:r>
              <w:rPr>
                <w:rFonts w:hint="eastAsia" w:ascii="宋体" w:hAnsi="宋体"/>
                <w:sz w:val="21"/>
                <w:szCs w:val="21"/>
              </w:rPr>
              <w:t>评审</w:t>
            </w:r>
            <w:r>
              <w:rPr>
                <w:rFonts w:ascii="宋体" w:hAnsi="宋体"/>
                <w:sz w:val="21"/>
                <w:szCs w:val="21"/>
              </w:rPr>
              <w:t>因素</w:t>
            </w:r>
          </w:p>
        </w:tc>
        <w:tc>
          <w:tcPr>
            <w:tcW w:w="2198" w:type="pct"/>
          </w:tcPr>
          <w:p w14:paraId="3195E152">
            <w:pPr>
              <w:spacing w:line="360" w:lineRule="auto"/>
              <w:jc w:val="center"/>
              <w:rPr>
                <w:rFonts w:ascii="宋体" w:hAnsi="宋体"/>
                <w:sz w:val="21"/>
                <w:szCs w:val="21"/>
              </w:rPr>
            </w:pPr>
            <w:r>
              <w:rPr>
                <w:rFonts w:hint="eastAsia" w:ascii="宋体" w:hAnsi="宋体"/>
                <w:sz w:val="21"/>
                <w:szCs w:val="21"/>
              </w:rPr>
              <w:t>评审标准</w:t>
            </w:r>
          </w:p>
        </w:tc>
      </w:tr>
      <w:tr w14:paraId="2530A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183783CD">
            <w:pPr>
              <w:spacing w:line="360" w:lineRule="auto"/>
              <w:jc w:val="center"/>
              <w:rPr>
                <w:rFonts w:ascii="宋体" w:hAnsi="宋体"/>
                <w:sz w:val="21"/>
                <w:szCs w:val="21"/>
              </w:rPr>
            </w:pPr>
          </w:p>
        </w:tc>
        <w:tc>
          <w:tcPr>
            <w:tcW w:w="2514" w:type="pct"/>
            <w:vAlign w:val="center"/>
          </w:tcPr>
          <w:p w14:paraId="0A602867">
            <w:pPr>
              <w:spacing w:line="360" w:lineRule="auto"/>
              <w:jc w:val="center"/>
              <w:rPr>
                <w:rFonts w:ascii="宋体" w:hAnsi="宋体"/>
                <w:sz w:val="21"/>
                <w:szCs w:val="21"/>
              </w:rPr>
            </w:pPr>
            <w:r>
              <w:rPr>
                <w:rFonts w:hint="eastAsia" w:ascii="宋体" w:hAnsi="宋体"/>
                <w:sz w:val="21"/>
                <w:szCs w:val="21"/>
              </w:rPr>
              <w:t>营业执照</w:t>
            </w:r>
          </w:p>
        </w:tc>
        <w:tc>
          <w:tcPr>
            <w:tcW w:w="2198" w:type="pct"/>
            <w:vAlign w:val="center"/>
          </w:tcPr>
          <w:p w14:paraId="40729405">
            <w:pPr>
              <w:spacing w:line="360" w:lineRule="auto"/>
              <w:jc w:val="center"/>
              <w:rPr>
                <w:rFonts w:ascii="宋体" w:hAnsi="宋体"/>
                <w:sz w:val="21"/>
                <w:szCs w:val="21"/>
              </w:rPr>
            </w:pPr>
            <w:r>
              <w:rPr>
                <w:rFonts w:hint="eastAsia" w:ascii="宋体" w:hAnsi="宋体" w:cs="宋体"/>
                <w:spacing w:val="-6"/>
                <w:sz w:val="21"/>
                <w:szCs w:val="21"/>
              </w:rPr>
              <w:t>符合投标人须知前附表中“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1AC6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2B91D83F">
            <w:pPr>
              <w:spacing w:line="360" w:lineRule="auto"/>
              <w:jc w:val="center"/>
              <w:rPr>
                <w:rFonts w:ascii="宋体" w:hAnsi="宋体"/>
                <w:sz w:val="21"/>
                <w:szCs w:val="21"/>
              </w:rPr>
            </w:pPr>
          </w:p>
        </w:tc>
        <w:tc>
          <w:tcPr>
            <w:tcW w:w="2514" w:type="pct"/>
            <w:vAlign w:val="center"/>
          </w:tcPr>
          <w:p w14:paraId="3D5E6D78">
            <w:pPr>
              <w:spacing w:line="360" w:lineRule="auto"/>
              <w:jc w:val="center"/>
              <w:rPr>
                <w:rFonts w:ascii="宋体" w:hAnsi="宋体"/>
                <w:sz w:val="21"/>
                <w:szCs w:val="21"/>
              </w:rPr>
            </w:pPr>
            <w:r>
              <w:rPr>
                <w:rFonts w:hint="eastAsia" w:ascii="宋体" w:hAnsi="宋体" w:cs="宋体"/>
                <w:sz w:val="21"/>
                <w:szCs w:val="21"/>
                <w:lang w:val="zh-CN"/>
              </w:rPr>
              <w:t>具有良好的商业信誉和健全的财务会计制度</w:t>
            </w:r>
          </w:p>
        </w:tc>
        <w:tc>
          <w:tcPr>
            <w:tcW w:w="2198" w:type="pct"/>
            <w:vAlign w:val="center"/>
          </w:tcPr>
          <w:p w14:paraId="4FB04D75">
            <w:pPr>
              <w:spacing w:line="360" w:lineRule="auto"/>
              <w:jc w:val="center"/>
              <w:rPr>
                <w:rFonts w:ascii="宋体" w:hAnsi="宋体"/>
                <w:sz w:val="21"/>
                <w:szCs w:val="21"/>
              </w:rPr>
            </w:pPr>
            <w:r>
              <w:rPr>
                <w:rFonts w:hint="eastAsia" w:ascii="宋体" w:hAnsi="宋体" w:cs="宋体"/>
                <w:spacing w:val="-6"/>
                <w:sz w:val="21"/>
                <w:szCs w:val="21"/>
              </w:rPr>
              <w:t>符合投标人须知前附表中“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5A88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6877676D">
            <w:pPr>
              <w:spacing w:line="360" w:lineRule="auto"/>
              <w:jc w:val="center"/>
              <w:rPr>
                <w:rFonts w:ascii="宋体" w:hAnsi="宋体"/>
                <w:sz w:val="21"/>
                <w:szCs w:val="21"/>
              </w:rPr>
            </w:pPr>
          </w:p>
        </w:tc>
        <w:tc>
          <w:tcPr>
            <w:tcW w:w="2514" w:type="pct"/>
            <w:vAlign w:val="center"/>
          </w:tcPr>
          <w:p w14:paraId="0F59345F">
            <w:pPr>
              <w:spacing w:line="360" w:lineRule="auto"/>
              <w:jc w:val="center"/>
              <w:rPr>
                <w:rFonts w:ascii="宋体" w:hAnsi="宋体"/>
                <w:sz w:val="21"/>
                <w:szCs w:val="21"/>
              </w:rPr>
            </w:pPr>
            <w:r>
              <w:rPr>
                <w:rFonts w:hint="eastAsia" w:ascii="宋体" w:hAnsi="宋体" w:cs="宋体"/>
                <w:sz w:val="21"/>
                <w:szCs w:val="21"/>
                <w:lang w:val="zh-CN"/>
              </w:rPr>
              <w:t>具有履行合同所必须的设备和专业技术能力</w:t>
            </w:r>
          </w:p>
        </w:tc>
        <w:tc>
          <w:tcPr>
            <w:tcW w:w="2198" w:type="pct"/>
            <w:vAlign w:val="center"/>
          </w:tcPr>
          <w:p w14:paraId="25B52FEA">
            <w:pPr>
              <w:spacing w:line="360" w:lineRule="auto"/>
              <w:jc w:val="center"/>
              <w:rPr>
                <w:rFonts w:ascii="宋体" w:hAnsi="宋体"/>
                <w:sz w:val="21"/>
                <w:szCs w:val="21"/>
              </w:rPr>
            </w:pPr>
            <w:r>
              <w:rPr>
                <w:rFonts w:hint="eastAsia" w:ascii="宋体" w:hAnsi="宋体" w:cs="宋体"/>
                <w:spacing w:val="-6"/>
                <w:sz w:val="21"/>
                <w:szCs w:val="21"/>
              </w:rPr>
              <w:t>符合投标人须知前附表中“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6D189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01F2B5F1">
            <w:pPr>
              <w:spacing w:line="360" w:lineRule="auto"/>
              <w:jc w:val="center"/>
              <w:rPr>
                <w:rFonts w:ascii="宋体" w:hAnsi="宋体"/>
                <w:sz w:val="21"/>
                <w:szCs w:val="21"/>
              </w:rPr>
            </w:pPr>
          </w:p>
        </w:tc>
        <w:tc>
          <w:tcPr>
            <w:tcW w:w="2514" w:type="pct"/>
            <w:vAlign w:val="center"/>
          </w:tcPr>
          <w:p w14:paraId="7547697F">
            <w:pPr>
              <w:spacing w:line="360" w:lineRule="auto"/>
              <w:jc w:val="center"/>
              <w:rPr>
                <w:rFonts w:ascii="宋体" w:hAnsi="宋体"/>
                <w:sz w:val="21"/>
                <w:szCs w:val="21"/>
              </w:rPr>
            </w:pPr>
            <w:r>
              <w:rPr>
                <w:rFonts w:hint="eastAsia" w:ascii="宋体" w:hAnsi="宋体" w:cs="宋体"/>
                <w:sz w:val="21"/>
                <w:szCs w:val="21"/>
                <w:lang w:val="zh-CN"/>
              </w:rPr>
              <w:t>具有依法缴纳税收和社会保障资金的良好记录</w:t>
            </w:r>
          </w:p>
        </w:tc>
        <w:tc>
          <w:tcPr>
            <w:tcW w:w="2198" w:type="pct"/>
            <w:vAlign w:val="center"/>
          </w:tcPr>
          <w:p w14:paraId="40B56DAC">
            <w:pPr>
              <w:spacing w:line="360" w:lineRule="auto"/>
              <w:jc w:val="center"/>
              <w:rPr>
                <w:rFonts w:ascii="宋体" w:hAnsi="宋体"/>
                <w:sz w:val="21"/>
                <w:szCs w:val="21"/>
              </w:rPr>
            </w:pPr>
            <w:r>
              <w:rPr>
                <w:rFonts w:hint="eastAsia" w:ascii="宋体" w:hAnsi="宋体" w:cs="宋体"/>
                <w:spacing w:val="-6"/>
                <w:sz w:val="21"/>
                <w:szCs w:val="21"/>
              </w:rPr>
              <w:t>符合投标人须知前附表中“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5F71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2A362FDA">
            <w:pPr>
              <w:spacing w:line="360" w:lineRule="auto"/>
              <w:jc w:val="center"/>
              <w:rPr>
                <w:rFonts w:ascii="宋体" w:hAnsi="宋体"/>
                <w:sz w:val="21"/>
                <w:szCs w:val="21"/>
              </w:rPr>
            </w:pPr>
          </w:p>
        </w:tc>
        <w:tc>
          <w:tcPr>
            <w:tcW w:w="2514" w:type="pct"/>
            <w:vAlign w:val="center"/>
          </w:tcPr>
          <w:p w14:paraId="50871F7D">
            <w:pPr>
              <w:spacing w:line="360" w:lineRule="auto"/>
              <w:jc w:val="center"/>
              <w:rPr>
                <w:rFonts w:ascii="宋体" w:hAnsi="宋体"/>
                <w:sz w:val="21"/>
                <w:szCs w:val="21"/>
                <w:lang w:val="zh-CN"/>
              </w:rPr>
            </w:pPr>
            <w:r>
              <w:rPr>
                <w:rFonts w:hint="eastAsia" w:ascii="宋体" w:hAnsi="宋体" w:cs="宋体"/>
                <w:sz w:val="21"/>
                <w:szCs w:val="21"/>
                <w:lang w:val="zh-CN"/>
              </w:rPr>
              <w:t>参加政府采购活动前三年内，在经营活动中没有重大违法记录</w:t>
            </w:r>
          </w:p>
        </w:tc>
        <w:tc>
          <w:tcPr>
            <w:tcW w:w="2198" w:type="pct"/>
            <w:vAlign w:val="center"/>
          </w:tcPr>
          <w:p w14:paraId="580424E2">
            <w:pPr>
              <w:spacing w:line="360" w:lineRule="auto"/>
              <w:jc w:val="center"/>
              <w:rPr>
                <w:rFonts w:ascii="宋体" w:hAnsi="宋体"/>
                <w:sz w:val="21"/>
                <w:szCs w:val="21"/>
              </w:rPr>
            </w:pPr>
            <w:r>
              <w:rPr>
                <w:rFonts w:hint="eastAsia" w:ascii="宋体" w:hAnsi="宋体" w:cs="宋体"/>
                <w:spacing w:val="-6"/>
                <w:sz w:val="21"/>
                <w:szCs w:val="21"/>
              </w:rPr>
              <w:t>符合投标人须知前附表中“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42EA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288" w:type="pct"/>
            <w:vMerge w:val="continue"/>
            <w:vAlign w:val="center"/>
          </w:tcPr>
          <w:p w14:paraId="2152EC08">
            <w:pPr>
              <w:spacing w:line="360" w:lineRule="auto"/>
              <w:jc w:val="center"/>
              <w:rPr>
                <w:rFonts w:ascii="宋体" w:hAnsi="宋体"/>
                <w:sz w:val="21"/>
                <w:szCs w:val="21"/>
              </w:rPr>
            </w:pPr>
          </w:p>
        </w:tc>
        <w:tc>
          <w:tcPr>
            <w:tcW w:w="2514" w:type="pct"/>
            <w:vAlign w:val="center"/>
          </w:tcPr>
          <w:p w14:paraId="045CF652">
            <w:pPr>
              <w:spacing w:line="360" w:lineRule="auto"/>
              <w:jc w:val="center"/>
              <w:rPr>
                <w:rFonts w:ascii="宋体" w:hAnsi="宋体"/>
                <w:sz w:val="21"/>
                <w:szCs w:val="21"/>
                <w:lang w:val="zh-CN"/>
              </w:rPr>
            </w:pPr>
            <w:r>
              <w:rPr>
                <w:rFonts w:ascii="宋体" w:hAnsi="宋体"/>
                <w:sz w:val="21"/>
                <w:szCs w:val="21"/>
                <w:lang w:val="zh-CN"/>
              </w:rPr>
              <w:t>其他</w:t>
            </w:r>
          </w:p>
        </w:tc>
        <w:tc>
          <w:tcPr>
            <w:tcW w:w="2198" w:type="pct"/>
            <w:vAlign w:val="center"/>
          </w:tcPr>
          <w:p w14:paraId="142D11F4">
            <w:pPr>
              <w:spacing w:line="360" w:lineRule="auto"/>
              <w:jc w:val="center"/>
              <w:rPr>
                <w:rFonts w:ascii="宋体" w:hAnsi="宋体"/>
                <w:sz w:val="21"/>
                <w:szCs w:val="21"/>
              </w:rPr>
            </w:pPr>
            <w:r>
              <w:rPr>
                <w:rFonts w:hint="eastAsia" w:ascii="宋体" w:hAnsi="宋体" w:cs="宋体"/>
                <w:spacing w:val="-6"/>
                <w:sz w:val="21"/>
                <w:szCs w:val="21"/>
              </w:rPr>
              <w:t>符合投标人须知前附表中“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bl>
    <w:p w14:paraId="3205BF28">
      <w:pPr>
        <w:pStyle w:val="5"/>
        <w:ind w:firstLine="422"/>
        <w:jc w:val="center"/>
        <w:rPr>
          <w:rFonts w:ascii="宋体" w:hAnsi="宋体" w:cs="宋体"/>
          <w:sz w:val="21"/>
          <w:szCs w:val="21"/>
          <w:lang w:val="zh-CN"/>
        </w:rPr>
      </w:pPr>
      <w:bookmarkStart w:id="622" w:name="_Toc15516"/>
      <w:bookmarkStart w:id="623" w:name="_Toc15383"/>
      <w:r>
        <w:rPr>
          <w:rFonts w:hint="eastAsia" w:ascii="宋体" w:hAnsi="宋体" w:cs="宋体"/>
          <w:sz w:val="21"/>
          <w:szCs w:val="21"/>
          <w:lang w:val="zh-CN"/>
        </w:rPr>
        <w:t>七、评审程序及方法</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22"/>
      <w:bookmarkEnd w:id="623"/>
    </w:p>
    <w:p w14:paraId="5FC5C053">
      <w:pPr>
        <w:spacing w:line="360" w:lineRule="auto"/>
        <w:outlineLvl w:val="2"/>
        <w:rPr>
          <w:rFonts w:ascii="宋体" w:hAnsi="宋体" w:cs="宋体"/>
          <w:b/>
          <w:bCs/>
          <w:sz w:val="21"/>
          <w:szCs w:val="21"/>
          <w:lang w:val="zh-CN"/>
        </w:rPr>
      </w:pPr>
      <w:bookmarkStart w:id="624" w:name="_Toc26743"/>
      <w:bookmarkStart w:id="625" w:name="_Toc30704"/>
      <w:bookmarkStart w:id="626" w:name="_Toc20221"/>
      <w:bookmarkStart w:id="627" w:name="_Toc20712"/>
      <w:bookmarkStart w:id="628" w:name="_Toc24235"/>
      <w:bookmarkStart w:id="629" w:name="_Toc1718"/>
      <w:bookmarkStart w:id="630" w:name="_Toc25700"/>
      <w:bookmarkStart w:id="631" w:name="_Toc30619"/>
      <w:bookmarkStart w:id="632" w:name="_Toc3274_WPSOffice_Level3"/>
      <w:bookmarkStart w:id="633" w:name="_Toc12465"/>
      <w:bookmarkStart w:id="634" w:name="_Toc24615"/>
      <w:bookmarkStart w:id="635" w:name="_Toc29715"/>
      <w:bookmarkStart w:id="636" w:name="_Toc7913"/>
      <w:bookmarkStart w:id="637" w:name="_Toc27683"/>
      <w:bookmarkStart w:id="638" w:name="_Toc8959"/>
      <w:bookmarkStart w:id="639" w:name="_Toc24712"/>
      <w:bookmarkStart w:id="640" w:name="_Toc14898"/>
      <w:bookmarkStart w:id="641" w:name="_Toc4249"/>
      <w:bookmarkStart w:id="642" w:name="_Toc25393"/>
      <w:bookmarkStart w:id="643" w:name="_Toc15577"/>
      <w:bookmarkStart w:id="644" w:name="_Toc8130"/>
      <w:r>
        <w:rPr>
          <w:rFonts w:hint="eastAsia" w:ascii="宋体" w:hAnsi="宋体" w:cs="宋体"/>
          <w:b/>
          <w:bCs/>
          <w:sz w:val="21"/>
          <w:szCs w:val="21"/>
          <w:lang w:val="zh-CN"/>
        </w:rPr>
        <w:t>18.评标委员会</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6A88D7B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18.1 </w:t>
      </w:r>
      <w:r>
        <w:rPr>
          <w:rFonts w:hint="eastAsia" w:ascii="宋体" w:hAnsi="宋体" w:cs="宋体"/>
          <w:kern w:val="0"/>
          <w:sz w:val="21"/>
          <w:szCs w:val="21"/>
          <w:lang w:val="zh-CN"/>
        </w:rPr>
        <w:t>采购人、采购代理机构负责组织评标工作，并履行下列职责：</w:t>
      </w:r>
    </w:p>
    <w:p w14:paraId="5F8F14B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1</w:t>
      </w:r>
      <w:r>
        <w:rPr>
          <w:rFonts w:hint="eastAsia" w:ascii="宋体" w:hAnsi="宋体" w:cs="宋体"/>
          <w:kern w:val="0"/>
          <w:sz w:val="21"/>
          <w:szCs w:val="21"/>
          <w:lang w:val="zh-CN"/>
        </w:rPr>
        <w:t>）核对评审专家身份和采购人代表授权函，对评审专家在政府采购活动中的职责履行情况予以记录，并及时将有关违法违规行为向监督部门报告；</w:t>
      </w:r>
    </w:p>
    <w:p w14:paraId="19F23EB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2</w:t>
      </w:r>
      <w:r>
        <w:rPr>
          <w:rFonts w:hint="eastAsia" w:ascii="宋体" w:hAnsi="宋体" w:cs="宋体"/>
          <w:kern w:val="0"/>
          <w:sz w:val="21"/>
          <w:szCs w:val="21"/>
          <w:lang w:val="zh-CN"/>
        </w:rPr>
        <w:t>）宣布评标纪律；</w:t>
      </w:r>
    </w:p>
    <w:p w14:paraId="4ED9666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3</w:t>
      </w:r>
      <w:r>
        <w:rPr>
          <w:rFonts w:hint="eastAsia" w:ascii="宋体" w:hAnsi="宋体" w:cs="宋体"/>
          <w:kern w:val="0"/>
          <w:sz w:val="21"/>
          <w:szCs w:val="21"/>
          <w:lang w:val="zh-CN"/>
        </w:rPr>
        <w:t>）公布投标人名单，告知评审专家应当回避的情形；</w:t>
      </w:r>
    </w:p>
    <w:p w14:paraId="3D10B42D">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4</w:t>
      </w:r>
      <w:r>
        <w:rPr>
          <w:rFonts w:hint="eastAsia" w:ascii="宋体" w:hAnsi="宋体" w:cs="宋体"/>
          <w:kern w:val="0"/>
          <w:sz w:val="21"/>
          <w:szCs w:val="21"/>
          <w:lang w:val="zh-CN"/>
        </w:rPr>
        <w:t>）组织评标委员会推选评标组长，采购人代表不得担任组长；</w:t>
      </w:r>
    </w:p>
    <w:p w14:paraId="595AAD1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5</w:t>
      </w:r>
      <w:r>
        <w:rPr>
          <w:rFonts w:hint="eastAsia" w:ascii="宋体" w:hAnsi="宋体" w:cs="宋体"/>
          <w:kern w:val="0"/>
          <w:sz w:val="21"/>
          <w:szCs w:val="21"/>
          <w:lang w:val="zh-CN"/>
        </w:rPr>
        <w:t>）在评标期间采取必要的通讯管理措施，保证评标活动不受外界干扰；</w:t>
      </w:r>
    </w:p>
    <w:p w14:paraId="2D89B4E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6</w:t>
      </w:r>
      <w:r>
        <w:rPr>
          <w:rFonts w:hint="eastAsia" w:ascii="宋体" w:hAnsi="宋体" w:cs="宋体"/>
          <w:kern w:val="0"/>
          <w:sz w:val="21"/>
          <w:szCs w:val="21"/>
          <w:lang w:val="zh-CN"/>
        </w:rPr>
        <w:t>）根据评标委员会的要求介绍政府采购相关政策法规、招标文件；</w:t>
      </w:r>
    </w:p>
    <w:p w14:paraId="24E408D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7</w:t>
      </w:r>
      <w:r>
        <w:rPr>
          <w:rFonts w:hint="eastAsia" w:ascii="宋体" w:hAnsi="宋体" w:cs="宋体"/>
          <w:kern w:val="0"/>
          <w:sz w:val="21"/>
          <w:szCs w:val="21"/>
          <w:lang w:val="zh-CN"/>
        </w:rPr>
        <w:t>）维护评标秩序，监督评标委员会依照招标文件规定的评标程序、方法和标准进行独立评审，及时制止和纠正采购人代表、评审专家的倾向性言论或者违法违规行为；</w:t>
      </w:r>
    </w:p>
    <w:p w14:paraId="41204A6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8</w:t>
      </w:r>
      <w:r>
        <w:rPr>
          <w:rFonts w:hint="eastAsia" w:ascii="宋体" w:hAnsi="宋体" w:cs="宋体"/>
          <w:kern w:val="0"/>
          <w:sz w:val="21"/>
          <w:szCs w:val="21"/>
          <w:lang w:val="zh-CN"/>
        </w:rPr>
        <w:t>）核对评标结果，有</w:t>
      </w:r>
      <w:r>
        <w:rPr>
          <w:rFonts w:hint="eastAsia" w:ascii="宋体" w:hAnsi="宋体" w:cs="宋体"/>
          <w:kern w:val="0"/>
          <w:sz w:val="21"/>
          <w:szCs w:val="21"/>
        </w:rPr>
        <w:t>20.4</w:t>
      </w:r>
      <w:r>
        <w:rPr>
          <w:rFonts w:hint="eastAsia" w:ascii="宋体" w:hAnsi="宋体" w:cs="宋体"/>
          <w:kern w:val="0"/>
          <w:sz w:val="21"/>
          <w:szCs w:val="21"/>
          <w:lang w:val="zh-CN"/>
        </w:rPr>
        <w:t>规定情形的，要求评标委员会复核或者书面说明理由，评标委员会拒绝的，应予记录并向本级监督部门报告；</w:t>
      </w:r>
    </w:p>
    <w:p w14:paraId="3540A817">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9</w:t>
      </w:r>
      <w:r>
        <w:rPr>
          <w:rFonts w:hint="eastAsia" w:ascii="宋体" w:hAnsi="宋体" w:cs="宋体"/>
          <w:kern w:val="0"/>
          <w:sz w:val="21"/>
          <w:szCs w:val="21"/>
          <w:lang w:val="zh-CN"/>
        </w:rPr>
        <w:t>）评审工作完成后，按照规定向评审专家支付劳务报酬和异地评审差旅费，不得向评审专家以外的其他人员支付评审劳务报酬；</w:t>
      </w:r>
    </w:p>
    <w:p w14:paraId="291DA80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10</w:t>
      </w:r>
      <w:r>
        <w:rPr>
          <w:rFonts w:hint="eastAsia" w:ascii="宋体" w:hAnsi="宋体" w:cs="宋体"/>
          <w:kern w:val="0"/>
          <w:sz w:val="21"/>
          <w:szCs w:val="21"/>
          <w:lang w:val="zh-CN"/>
        </w:rPr>
        <w:t>）处理与评标有关的其他事项。</w:t>
      </w:r>
    </w:p>
    <w:p w14:paraId="2B4E5F2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采购人可以在评标前说明项目背景和采购需求，说明内容不得含有歧视性、倾向性意见，不得超出招标文件所述范围。说明应当提交书面材料，并随招标文件一并存档。</w:t>
      </w:r>
    </w:p>
    <w:p w14:paraId="26F396DD">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18.2 评标委员会负责具体评标事务，并独立履行下列职责：</w:t>
      </w:r>
    </w:p>
    <w:p w14:paraId="4EB8BF65">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严格遵守评审工作纪律，按照客观、公正、审慎的原则，根据招标文件规定的评审程序、评审方法和评审标准进行独立评审</w:t>
      </w:r>
      <w:r>
        <w:rPr>
          <w:rFonts w:hint="eastAsia" w:ascii="宋体" w:hAnsi="宋体" w:cs="宋体"/>
          <w:kern w:val="0"/>
          <w:sz w:val="21"/>
          <w:szCs w:val="21"/>
          <w:lang w:val="zh-CN"/>
        </w:rPr>
        <w:t>；</w:t>
      </w:r>
    </w:p>
    <w:p w14:paraId="4CA84804">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现招标文件内容违反国家有关强制性规定或者招标文件存在歧义、重大缺陷导致评审工作无法进行时，应当停止评审并向采购人或者采购代理机构书面说明情况</w:t>
      </w:r>
      <w:r>
        <w:rPr>
          <w:rFonts w:hint="eastAsia" w:ascii="宋体" w:hAnsi="宋体" w:cs="宋体"/>
          <w:kern w:val="0"/>
          <w:sz w:val="21"/>
          <w:szCs w:val="21"/>
          <w:lang w:val="zh-CN"/>
        </w:rPr>
        <w:t>；</w:t>
      </w:r>
    </w:p>
    <w:p w14:paraId="63BE5BE6">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审查、评价投标文件是否符合招标文件的商务、技术等实质性要求</w:t>
      </w:r>
      <w:r>
        <w:rPr>
          <w:rFonts w:hint="eastAsia" w:ascii="宋体" w:hAnsi="宋体" w:cs="宋体"/>
          <w:kern w:val="0"/>
          <w:sz w:val="21"/>
          <w:szCs w:val="21"/>
          <w:lang w:val="zh-CN"/>
        </w:rPr>
        <w:t>；</w:t>
      </w:r>
    </w:p>
    <w:p w14:paraId="43D21FC3">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要求投标人对投标文件有关事项作出澄清或者说明；</w:t>
      </w:r>
    </w:p>
    <w:p w14:paraId="7CD15494">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对投标文件进行比较和评价；</w:t>
      </w:r>
    </w:p>
    <w:p w14:paraId="41F77BFA">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确定中标候选人名单，以及根据采购人委托直接确定中标人；</w:t>
      </w:r>
    </w:p>
    <w:p w14:paraId="64B94721">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配合答复投标人的询问、质疑和投诉等事项，不得泄露评审文件、评审情况和在评审过程中获悉的商业秘密</w:t>
      </w:r>
      <w:r>
        <w:rPr>
          <w:rFonts w:hint="eastAsia" w:ascii="宋体" w:hAnsi="宋体" w:cs="宋体"/>
          <w:kern w:val="0"/>
          <w:sz w:val="21"/>
          <w:szCs w:val="21"/>
          <w:lang w:val="zh-CN"/>
        </w:rPr>
        <w:t>；</w:t>
      </w:r>
    </w:p>
    <w:p w14:paraId="4D12EE09">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向采购人、采购代理机构或者有关部门报告评标中发现的违法行为。</w:t>
      </w:r>
    </w:p>
    <w:p w14:paraId="01C27DCA">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18.3 评标委员会由采购人代表和评审专家组成，</w:t>
      </w:r>
      <w:r>
        <w:rPr>
          <w:rFonts w:hint="eastAsia" w:ascii="宋体" w:hAnsi="宋体" w:cs="宋体"/>
          <w:bCs/>
          <w:kern w:val="0"/>
          <w:sz w:val="21"/>
          <w:szCs w:val="21"/>
        </w:rPr>
        <w:t>成员人数为5人以上单数，</w:t>
      </w:r>
      <w:r>
        <w:rPr>
          <w:rFonts w:hint="eastAsia" w:ascii="宋体" w:hAnsi="宋体" w:cs="宋体"/>
          <w:kern w:val="0"/>
          <w:sz w:val="21"/>
          <w:szCs w:val="21"/>
        </w:rPr>
        <w:t>其中评审专家不少于成员总数的三分之二。</w:t>
      </w:r>
    </w:p>
    <w:p w14:paraId="6B74307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评审专家对本单位的采购项目只作为采购人代表参与评标。采购代理机构工作人员不得参加由本机构代理的政府采购项目的评标。</w:t>
      </w:r>
    </w:p>
    <w:p w14:paraId="20A392E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评标委员会成员名单在评标结果公告前保密。</w:t>
      </w:r>
    </w:p>
    <w:p w14:paraId="36E1D4CF">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 xml:space="preserve">18.4 </w:t>
      </w:r>
      <w:r>
        <w:rPr>
          <w:rFonts w:hint="eastAsia" w:ascii="宋体" w:hAnsi="宋体" w:cs="宋体"/>
          <w:kern w:val="0"/>
          <w:sz w:val="21"/>
          <w:szCs w:val="21"/>
          <w:lang w:val="zh-CN"/>
        </w:rPr>
        <w:t>采购代理机构</w:t>
      </w:r>
      <w:r>
        <w:rPr>
          <w:rFonts w:hint="eastAsia" w:ascii="宋体" w:hAnsi="宋体" w:cs="宋体"/>
          <w:kern w:val="0"/>
          <w:sz w:val="21"/>
          <w:szCs w:val="21"/>
        </w:rPr>
        <w:t>应当从相关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本项目不适用）。</w:t>
      </w:r>
    </w:p>
    <w:p w14:paraId="21DA822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1</w:t>
      </w:r>
      <w:r>
        <w:rPr>
          <w:rFonts w:hint="eastAsia" w:ascii="宋体" w:hAnsi="宋体" w:cs="宋体"/>
          <w:kern w:val="0"/>
          <w:sz w:val="21"/>
          <w:szCs w:val="21"/>
        </w:rPr>
        <w:t>8</w:t>
      </w:r>
      <w:r>
        <w:rPr>
          <w:rFonts w:hint="eastAsia" w:ascii="宋体" w:hAnsi="宋体" w:cs="宋体"/>
          <w:kern w:val="0"/>
          <w:sz w:val="21"/>
          <w:szCs w:val="21"/>
          <w:lang w:val="zh-CN"/>
        </w:rPr>
        <w:t>.</w:t>
      </w:r>
      <w:r>
        <w:rPr>
          <w:rFonts w:hint="eastAsia" w:ascii="宋体" w:hAnsi="宋体" w:cs="宋体"/>
          <w:kern w:val="0"/>
          <w:sz w:val="21"/>
          <w:szCs w:val="21"/>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14:paraId="38565655">
      <w:pPr>
        <w:autoSpaceDE w:val="0"/>
        <w:autoSpaceDN w:val="0"/>
        <w:spacing w:line="360" w:lineRule="auto"/>
        <w:ind w:firstLine="525" w:firstLineChars="250"/>
        <w:rPr>
          <w:rFonts w:ascii="宋体" w:hAnsi="宋体" w:cs="宋体"/>
          <w:kern w:val="0"/>
          <w:sz w:val="21"/>
          <w:szCs w:val="21"/>
          <w:lang w:val="zh-CN"/>
        </w:rPr>
      </w:pPr>
      <w:r>
        <w:rPr>
          <w:rFonts w:hint="eastAsia" w:ascii="宋体" w:hAnsi="宋体" w:cs="宋体"/>
          <w:kern w:val="0"/>
          <w:sz w:val="21"/>
          <w:szCs w:val="21"/>
          <w:lang w:val="zh-CN"/>
        </w:rPr>
        <w:t>采购代理机构</w:t>
      </w:r>
      <w:r>
        <w:rPr>
          <w:rFonts w:hint="eastAsia" w:ascii="宋体" w:hAnsi="宋体" w:cs="宋体"/>
          <w:kern w:val="0"/>
          <w:sz w:val="21"/>
          <w:szCs w:val="21"/>
        </w:rPr>
        <w:t>应当将变更、重新组建评标委员会的情况予以记录，并随招标文件一并存档。</w:t>
      </w:r>
    </w:p>
    <w:p w14:paraId="05479AA8">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1</w:t>
      </w:r>
      <w:r>
        <w:rPr>
          <w:rFonts w:hint="eastAsia" w:ascii="宋体" w:hAnsi="宋体" w:cs="宋体"/>
          <w:kern w:val="0"/>
          <w:sz w:val="21"/>
          <w:szCs w:val="21"/>
        </w:rPr>
        <w:t>8</w:t>
      </w:r>
      <w:r>
        <w:rPr>
          <w:rFonts w:hint="eastAsia" w:ascii="宋体" w:hAnsi="宋体" w:cs="宋体"/>
          <w:kern w:val="0"/>
          <w:sz w:val="21"/>
          <w:szCs w:val="21"/>
          <w:lang w:val="zh-CN"/>
        </w:rPr>
        <w:t>.</w:t>
      </w:r>
      <w:r>
        <w:rPr>
          <w:rFonts w:hint="eastAsia" w:ascii="宋体" w:hAnsi="宋体" w:cs="宋体"/>
          <w:kern w:val="0"/>
          <w:sz w:val="21"/>
          <w:szCs w:val="21"/>
        </w:rPr>
        <w:t>6 采购人、采购代理机构应当采取必要措施，保证评标在严格保密的情况下进行。除采购人代表、评标现场组织人员外，采购人的其他工作人员以及与评标工作无关的人员不得进入评标现场。</w:t>
      </w:r>
    </w:p>
    <w:p w14:paraId="1AB4389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有关人员对评标情况以及在评标过程中获悉的国家秘密、商业秘密负有保密责任。</w:t>
      </w:r>
    </w:p>
    <w:p w14:paraId="032051F7">
      <w:pPr>
        <w:spacing w:line="360" w:lineRule="auto"/>
        <w:outlineLvl w:val="2"/>
        <w:rPr>
          <w:rFonts w:ascii="宋体" w:hAnsi="宋体" w:cs="宋体"/>
          <w:b/>
          <w:bCs/>
          <w:sz w:val="21"/>
          <w:szCs w:val="21"/>
          <w:lang w:val="zh-CN"/>
        </w:rPr>
      </w:pPr>
      <w:bookmarkStart w:id="645" w:name="_Toc31505"/>
      <w:bookmarkStart w:id="646" w:name="_Toc19042"/>
      <w:bookmarkStart w:id="647" w:name="_Toc30275"/>
      <w:bookmarkStart w:id="648" w:name="_Toc23655"/>
      <w:bookmarkStart w:id="649" w:name="_Toc3955"/>
      <w:bookmarkStart w:id="650" w:name="_Toc9509"/>
      <w:bookmarkStart w:id="651" w:name="_Toc28568"/>
      <w:bookmarkStart w:id="652" w:name="_Toc8432"/>
      <w:bookmarkStart w:id="653" w:name="_Toc23095"/>
      <w:bookmarkStart w:id="654" w:name="_Toc2371"/>
      <w:bookmarkStart w:id="655" w:name="_Toc13456"/>
      <w:bookmarkStart w:id="656" w:name="_Toc31509"/>
      <w:bookmarkStart w:id="657" w:name="_Toc23386"/>
      <w:bookmarkStart w:id="658" w:name="_Toc5045"/>
      <w:bookmarkStart w:id="659" w:name="_Toc10411"/>
      <w:bookmarkStart w:id="660" w:name="_Toc17485_WPSOffice_Level3"/>
      <w:bookmarkStart w:id="661" w:name="_Toc4509"/>
      <w:bookmarkStart w:id="662" w:name="_Toc10936"/>
      <w:bookmarkStart w:id="663" w:name="_Toc4658"/>
      <w:bookmarkStart w:id="664" w:name="_Toc14826"/>
      <w:bookmarkStart w:id="665" w:name="_Toc13782"/>
      <w:r>
        <w:rPr>
          <w:rFonts w:hint="eastAsia" w:ascii="宋体" w:hAnsi="宋体" w:cs="宋体"/>
          <w:b/>
          <w:bCs/>
          <w:sz w:val="21"/>
          <w:szCs w:val="21"/>
          <w:lang w:val="zh-CN"/>
        </w:rPr>
        <w:t>19.评审工作程序</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9E2AFE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bCs/>
          <w:kern w:val="0"/>
          <w:sz w:val="21"/>
          <w:szCs w:val="21"/>
          <w:lang w:val="zh-CN"/>
        </w:rPr>
        <w:t>1</w:t>
      </w:r>
      <w:r>
        <w:rPr>
          <w:rFonts w:hint="eastAsia" w:ascii="宋体" w:hAnsi="宋体" w:cs="宋体"/>
          <w:bCs/>
          <w:kern w:val="0"/>
          <w:sz w:val="21"/>
          <w:szCs w:val="21"/>
        </w:rPr>
        <w:t>9</w:t>
      </w:r>
      <w:r>
        <w:rPr>
          <w:rFonts w:hint="eastAsia" w:ascii="宋体" w:hAnsi="宋体" w:cs="宋体"/>
          <w:bCs/>
          <w:kern w:val="0"/>
          <w:sz w:val="21"/>
          <w:szCs w:val="21"/>
          <w:lang w:val="zh-CN"/>
        </w:rPr>
        <w:t>.1</w:t>
      </w:r>
      <w:r>
        <w:rPr>
          <w:rFonts w:hint="eastAsia" w:ascii="宋体" w:hAnsi="宋体" w:cs="宋体"/>
          <w:kern w:val="0"/>
          <w:sz w:val="21"/>
          <w:szCs w:val="21"/>
        </w:rPr>
        <w:t xml:space="preserve"> </w:t>
      </w:r>
      <w:r>
        <w:rPr>
          <w:rFonts w:hint="eastAsia" w:ascii="宋体" w:hAnsi="宋体" w:cs="宋体"/>
          <w:kern w:val="0"/>
          <w:sz w:val="21"/>
          <w:szCs w:val="21"/>
          <w:lang w:val="zh-CN"/>
        </w:rPr>
        <w:t>评标委员会应当对符合资格的投标人的符合性文件进行评审，以确定其是否满足招标文件的实质性要求。</w:t>
      </w:r>
    </w:p>
    <w:p w14:paraId="64B3A7E6">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19.1.1</w:t>
      </w:r>
      <w:r>
        <w:rPr>
          <w:rFonts w:hint="eastAsia" w:ascii="宋体" w:hAnsi="宋体" w:cs="宋体"/>
          <w:b/>
          <w:bCs/>
          <w:kern w:val="0"/>
          <w:sz w:val="21"/>
          <w:szCs w:val="21"/>
        </w:rPr>
        <w:t xml:space="preserve"> </w:t>
      </w:r>
      <w:r>
        <w:rPr>
          <w:rFonts w:hint="eastAsia" w:ascii="宋体" w:hAnsi="宋体" w:cs="宋体"/>
          <w:kern w:val="0"/>
          <w:sz w:val="21"/>
          <w:szCs w:val="21"/>
          <w:lang w:val="zh-CN"/>
        </w:rPr>
        <w:t>投标文件中含义不明确、同类问题表述不一致或者有明显文字和计算错误的内容，评标委员会应当以书面形式要求投标人作出必要的澄清、说明或者补正。</w:t>
      </w:r>
    </w:p>
    <w:p w14:paraId="79FE8BB9">
      <w:pPr>
        <w:autoSpaceDE w:val="0"/>
        <w:autoSpaceDN w:val="0"/>
        <w:spacing w:line="360" w:lineRule="auto"/>
        <w:ind w:firstLine="420" w:firstLineChars="200"/>
        <w:rPr>
          <w:rFonts w:ascii="宋体" w:hAnsi="宋体" w:cs="宋体"/>
          <w:b/>
          <w:bCs/>
          <w:kern w:val="0"/>
          <w:sz w:val="21"/>
          <w:szCs w:val="21"/>
        </w:rPr>
      </w:pPr>
      <w:r>
        <w:rPr>
          <w:rFonts w:hint="eastAsia" w:ascii="宋体" w:hAnsi="宋体" w:cs="宋体"/>
          <w:kern w:val="0"/>
          <w:sz w:val="21"/>
          <w:szCs w:val="21"/>
          <w:lang w:val="zh-CN"/>
        </w:rPr>
        <w:t>投标人的澄清、说明或者补正应当采用书面形式，并加盖公章，或者由法定代表人或其授权的代表签字。投标人的澄清、说明或者补正不得超出投标文件的范围或者改变投标文件的实质性内容。</w:t>
      </w:r>
    </w:p>
    <w:p w14:paraId="2898030D">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w:t>
      </w:r>
      <w:r>
        <w:rPr>
          <w:rFonts w:hint="eastAsia" w:ascii="宋体" w:hAnsi="宋体" w:cs="宋体"/>
          <w:kern w:val="0"/>
          <w:sz w:val="21"/>
          <w:szCs w:val="21"/>
        </w:rPr>
        <w:t>9</w:t>
      </w:r>
      <w:r>
        <w:rPr>
          <w:rFonts w:hint="eastAsia" w:ascii="宋体" w:hAnsi="宋体" w:cs="宋体"/>
          <w:kern w:val="0"/>
          <w:sz w:val="21"/>
          <w:szCs w:val="21"/>
          <w:lang w:val="zh-CN"/>
        </w:rPr>
        <w:t>.</w:t>
      </w:r>
      <w:r>
        <w:rPr>
          <w:rFonts w:hint="eastAsia" w:ascii="宋体" w:hAnsi="宋体" w:cs="宋体"/>
          <w:kern w:val="0"/>
          <w:sz w:val="21"/>
          <w:szCs w:val="21"/>
        </w:rPr>
        <w:t>1</w:t>
      </w:r>
      <w:r>
        <w:rPr>
          <w:rFonts w:hint="eastAsia" w:ascii="宋体" w:hAnsi="宋体" w:cs="宋体"/>
          <w:kern w:val="0"/>
          <w:sz w:val="21"/>
          <w:szCs w:val="21"/>
          <w:lang w:val="zh-CN"/>
        </w:rPr>
        <w:t>.2投标人符合性审查未通过的，其投标无效，符合性评审标准如下：</w:t>
      </w:r>
    </w:p>
    <w:p w14:paraId="671BB8C8">
      <w:pPr>
        <w:autoSpaceDE w:val="0"/>
        <w:autoSpaceDN w:val="0"/>
        <w:spacing w:line="360" w:lineRule="auto"/>
        <w:rPr>
          <w:b/>
          <w:sz w:val="21"/>
          <w:szCs w:val="21"/>
        </w:rPr>
      </w:pPr>
      <w:r>
        <w:rPr>
          <w:rFonts w:hint="eastAsia"/>
          <w:b/>
          <w:sz w:val="21"/>
          <w:szCs w:val="21"/>
        </w:rPr>
        <w:t>符合性评审表：</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1226"/>
        <w:gridCol w:w="2344"/>
        <w:gridCol w:w="5788"/>
      </w:tblGrid>
      <w:tr w14:paraId="5CDF6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95" w:type="pct"/>
            <w:gridSpan w:val="2"/>
            <w:vAlign w:val="center"/>
          </w:tcPr>
          <w:p w14:paraId="74DD9B80">
            <w:pPr>
              <w:spacing w:line="360" w:lineRule="auto"/>
              <w:jc w:val="center"/>
              <w:rPr>
                <w:rFonts w:ascii="宋体" w:hAnsi="宋体" w:cs="宋体"/>
                <w:sz w:val="21"/>
                <w:szCs w:val="21"/>
              </w:rPr>
            </w:pPr>
            <w:r>
              <w:rPr>
                <w:rFonts w:hint="eastAsia" w:ascii="宋体" w:hAnsi="宋体" w:cs="宋体"/>
                <w:sz w:val="21"/>
                <w:szCs w:val="21"/>
              </w:rPr>
              <w:t>条款号</w:t>
            </w:r>
          </w:p>
        </w:tc>
        <w:tc>
          <w:tcPr>
            <w:tcW w:w="1183" w:type="pct"/>
            <w:vAlign w:val="center"/>
          </w:tcPr>
          <w:p w14:paraId="5B5D8CC1">
            <w:pPr>
              <w:spacing w:line="360" w:lineRule="auto"/>
              <w:jc w:val="center"/>
              <w:rPr>
                <w:rFonts w:ascii="宋体" w:hAnsi="宋体" w:cs="宋体"/>
                <w:sz w:val="21"/>
                <w:szCs w:val="21"/>
              </w:rPr>
            </w:pPr>
            <w:r>
              <w:rPr>
                <w:rFonts w:hint="eastAsia" w:ascii="宋体" w:hAnsi="宋体" w:cs="宋体"/>
                <w:sz w:val="21"/>
                <w:szCs w:val="21"/>
              </w:rPr>
              <w:t>评审因素</w:t>
            </w:r>
          </w:p>
        </w:tc>
        <w:tc>
          <w:tcPr>
            <w:tcW w:w="2921" w:type="pct"/>
            <w:vAlign w:val="center"/>
          </w:tcPr>
          <w:p w14:paraId="27747468">
            <w:pPr>
              <w:spacing w:line="360" w:lineRule="auto"/>
              <w:jc w:val="center"/>
              <w:rPr>
                <w:rFonts w:ascii="宋体" w:hAnsi="宋体" w:cs="宋体"/>
                <w:sz w:val="21"/>
                <w:szCs w:val="21"/>
              </w:rPr>
            </w:pPr>
            <w:r>
              <w:rPr>
                <w:rFonts w:hint="eastAsia" w:ascii="宋体" w:hAnsi="宋体" w:cs="宋体"/>
                <w:sz w:val="21"/>
                <w:szCs w:val="21"/>
              </w:rPr>
              <w:t>评审标准</w:t>
            </w:r>
          </w:p>
        </w:tc>
      </w:tr>
      <w:tr w14:paraId="2F426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2" w:hRule="atLeast"/>
          <w:jc w:val="center"/>
        </w:trPr>
        <w:tc>
          <w:tcPr>
            <w:tcW w:w="276" w:type="pct"/>
            <w:vMerge w:val="restart"/>
            <w:vAlign w:val="center"/>
          </w:tcPr>
          <w:p w14:paraId="4F67AB5C">
            <w:pPr>
              <w:spacing w:line="360" w:lineRule="auto"/>
              <w:jc w:val="center"/>
              <w:rPr>
                <w:rFonts w:ascii="宋体" w:hAnsi="宋体" w:cs="宋体"/>
                <w:bCs/>
                <w:sz w:val="21"/>
                <w:szCs w:val="21"/>
              </w:rPr>
            </w:pPr>
            <w:r>
              <w:rPr>
                <w:rFonts w:hint="eastAsia" w:ascii="宋体" w:hAnsi="宋体" w:cs="宋体"/>
                <w:bCs/>
                <w:sz w:val="21"/>
                <w:szCs w:val="21"/>
              </w:rPr>
              <w:t>1</w:t>
            </w:r>
          </w:p>
        </w:tc>
        <w:tc>
          <w:tcPr>
            <w:tcW w:w="618" w:type="pct"/>
            <w:vMerge w:val="restart"/>
            <w:vAlign w:val="center"/>
          </w:tcPr>
          <w:p w14:paraId="4B50CEF5">
            <w:pPr>
              <w:spacing w:line="360" w:lineRule="auto"/>
              <w:jc w:val="center"/>
              <w:rPr>
                <w:rFonts w:ascii="宋体" w:hAnsi="宋体" w:cs="宋体"/>
                <w:bCs/>
                <w:sz w:val="21"/>
                <w:szCs w:val="21"/>
              </w:rPr>
            </w:pPr>
            <w:r>
              <w:rPr>
                <w:rFonts w:hint="eastAsia" w:ascii="宋体" w:hAnsi="宋体" w:cs="宋体"/>
                <w:bCs/>
                <w:sz w:val="21"/>
                <w:szCs w:val="21"/>
              </w:rPr>
              <w:t>形式评审</w:t>
            </w:r>
          </w:p>
          <w:p w14:paraId="288714DE">
            <w:pPr>
              <w:spacing w:line="360" w:lineRule="auto"/>
              <w:jc w:val="center"/>
              <w:rPr>
                <w:rFonts w:ascii="宋体" w:hAnsi="宋体" w:cs="宋体"/>
                <w:bCs/>
                <w:sz w:val="21"/>
                <w:szCs w:val="21"/>
              </w:rPr>
            </w:pPr>
            <w:r>
              <w:rPr>
                <w:rFonts w:hint="eastAsia" w:ascii="宋体" w:hAnsi="宋体" w:cs="宋体"/>
                <w:bCs/>
                <w:sz w:val="21"/>
                <w:szCs w:val="21"/>
              </w:rPr>
              <w:t>标准</w:t>
            </w:r>
          </w:p>
        </w:tc>
        <w:tc>
          <w:tcPr>
            <w:tcW w:w="1183" w:type="pct"/>
            <w:vAlign w:val="center"/>
          </w:tcPr>
          <w:p w14:paraId="3BC71676">
            <w:pPr>
              <w:spacing w:line="360" w:lineRule="auto"/>
              <w:jc w:val="center"/>
              <w:rPr>
                <w:rFonts w:ascii="宋体" w:hAnsi="宋体"/>
                <w:sz w:val="21"/>
                <w:szCs w:val="21"/>
              </w:rPr>
            </w:pPr>
            <w:r>
              <w:rPr>
                <w:rFonts w:ascii="宋体" w:hAnsi="宋体"/>
                <w:sz w:val="21"/>
                <w:szCs w:val="21"/>
              </w:rPr>
              <w:t>投标人名称</w:t>
            </w:r>
          </w:p>
        </w:tc>
        <w:tc>
          <w:tcPr>
            <w:tcW w:w="2921" w:type="pct"/>
            <w:vAlign w:val="center"/>
          </w:tcPr>
          <w:p w14:paraId="41F01DD6">
            <w:pPr>
              <w:spacing w:line="360" w:lineRule="auto"/>
              <w:jc w:val="center"/>
              <w:rPr>
                <w:rFonts w:ascii="宋体" w:hAnsi="宋体"/>
                <w:sz w:val="21"/>
                <w:szCs w:val="21"/>
              </w:rPr>
            </w:pPr>
            <w:r>
              <w:rPr>
                <w:rFonts w:ascii="宋体" w:hAnsi="宋体"/>
                <w:sz w:val="21"/>
                <w:szCs w:val="21"/>
              </w:rPr>
              <w:t>与营业执照一致</w:t>
            </w:r>
          </w:p>
        </w:tc>
      </w:tr>
      <w:tr w14:paraId="0C22E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atLeast"/>
          <w:jc w:val="center"/>
        </w:trPr>
        <w:tc>
          <w:tcPr>
            <w:tcW w:w="276" w:type="pct"/>
            <w:vMerge w:val="continue"/>
            <w:vAlign w:val="center"/>
          </w:tcPr>
          <w:p w14:paraId="0E8B0CE5">
            <w:pPr>
              <w:spacing w:line="360" w:lineRule="auto"/>
              <w:jc w:val="center"/>
              <w:rPr>
                <w:rFonts w:ascii="宋体" w:hAnsi="宋体" w:cs="宋体"/>
                <w:bCs/>
                <w:sz w:val="21"/>
                <w:szCs w:val="21"/>
              </w:rPr>
            </w:pPr>
          </w:p>
        </w:tc>
        <w:tc>
          <w:tcPr>
            <w:tcW w:w="618" w:type="pct"/>
            <w:vMerge w:val="continue"/>
            <w:vAlign w:val="center"/>
          </w:tcPr>
          <w:p w14:paraId="172CBE61">
            <w:pPr>
              <w:spacing w:line="360" w:lineRule="auto"/>
              <w:jc w:val="center"/>
              <w:rPr>
                <w:rFonts w:ascii="宋体" w:hAnsi="宋体" w:cs="宋体"/>
                <w:bCs/>
                <w:sz w:val="21"/>
                <w:szCs w:val="21"/>
              </w:rPr>
            </w:pPr>
          </w:p>
        </w:tc>
        <w:tc>
          <w:tcPr>
            <w:tcW w:w="1183" w:type="pct"/>
            <w:vAlign w:val="center"/>
          </w:tcPr>
          <w:p w14:paraId="02A17781">
            <w:pPr>
              <w:spacing w:line="360" w:lineRule="auto"/>
              <w:jc w:val="center"/>
              <w:rPr>
                <w:rFonts w:ascii="宋体" w:hAnsi="宋体"/>
                <w:sz w:val="21"/>
                <w:szCs w:val="21"/>
              </w:rPr>
            </w:pPr>
            <w:r>
              <w:rPr>
                <w:rFonts w:ascii="宋体" w:hAnsi="宋体"/>
                <w:sz w:val="21"/>
                <w:szCs w:val="21"/>
              </w:rPr>
              <w:t>投标文件格式</w:t>
            </w:r>
          </w:p>
        </w:tc>
        <w:tc>
          <w:tcPr>
            <w:tcW w:w="2921" w:type="pct"/>
            <w:vAlign w:val="center"/>
          </w:tcPr>
          <w:p w14:paraId="3C2A9671">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第四部分</w:t>
            </w:r>
            <w:r>
              <w:rPr>
                <w:rFonts w:ascii="宋体" w:hAnsi="宋体"/>
                <w:sz w:val="21"/>
                <w:szCs w:val="21"/>
              </w:rPr>
              <w:t>“投标文件格式”的要求</w:t>
            </w:r>
          </w:p>
        </w:tc>
      </w:tr>
      <w:tr w14:paraId="3AB5F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276" w:type="pct"/>
            <w:vMerge w:val="continue"/>
            <w:vAlign w:val="center"/>
          </w:tcPr>
          <w:p w14:paraId="374D1B8C">
            <w:pPr>
              <w:spacing w:line="360" w:lineRule="auto"/>
              <w:jc w:val="center"/>
              <w:rPr>
                <w:rFonts w:ascii="宋体" w:hAnsi="宋体" w:cs="宋体"/>
                <w:bCs/>
                <w:sz w:val="21"/>
                <w:szCs w:val="21"/>
              </w:rPr>
            </w:pPr>
          </w:p>
        </w:tc>
        <w:tc>
          <w:tcPr>
            <w:tcW w:w="618" w:type="pct"/>
            <w:vMerge w:val="continue"/>
            <w:vAlign w:val="center"/>
          </w:tcPr>
          <w:p w14:paraId="04207466">
            <w:pPr>
              <w:spacing w:line="360" w:lineRule="auto"/>
              <w:jc w:val="center"/>
              <w:rPr>
                <w:rFonts w:ascii="宋体" w:hAnsi="宋体" w:cs="宋体"/>
                <w:bCs/>
                <w:sz w:val="21"/>
                <w:szCs w:val="21"/>
              </w:rPr>
            </w:pPr>
          </w:p>
        </w:tc>
        <w:tc>
          <w:tcPr>
            <w:tcW w:w="1183" w:type="pct"/>
            <w:vAlign w:val="center"/>
          </w:tcPr>
          <w:p w14:paraId="6F6ED94D">
            <w:pPr>
              <w:spacing w:line="360" w:lineRule="auto"/>
              <w:jc w:val="center"/>
              <w:rPr>
                <w:rFonts w:ascii="宋体" w:hAnsi="宋体"/>
                <w:sz w:val="21"/>
                <w:szCs w:val="21"/>
              </w:rPr>
            </w:pPr>
            <w:r>
              <w:rPr>
                <w:rFonts w:ascii="宋体" w:hAnsi="宋体"/>
                <w:sz w:val="21"/>
                <w:szCs w:val="21"/>
              </w:rPr>
              <w:t>报价唯一</w:t>
            </w:r>
          </w:p>
        </w:tc>
        <w:tc>
          <w:tcPr>
            <w:tcW w:w="2921" w:type="pct"/>
            <w:vAlign w:val="center"/>
          </w:tcPr>
          <w:p w14:paraId="546EC1D3">
            <w:pPr>
              <w:spacing w:line="360" w:lineRule="auto"/>
              <w:jc w:val="center"/>
              <w:rPr>
                <w:rFonts w:ascii="宋体" w:hAnsi="宋体"/>
                <w:sz w:val="21"/>
                <w:szCs w:val="21"/>
              </w:rPr>
            </w:pPr>
            <w:r>
              <w:rPr>
                <w:rFonts w:ascii="宋体" w:hAnsi="宋体"/>
                <w:sz w:val="21"/>
                <w:szCs w:val="21"/>
              </w:rPr>
              <w:t>只能有一个有效报价</w:t>
            </w:r>
            <w:r>
              <w:rPr>
                <w:rFonts w:hint="eastAsia" w:ascii="宋体" w:hAnsi="宋体"/>
                <w:sz w:val="21"/>
                <w:szCs w:val="21"/>
              </w:rPr>
              <w:t>且未超过招标控制价</w:t>
            </w:r>
          </w:p>
        </w:tc>
      </w:tr>
      <w:tr w14:paraId="41B85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276" w:type="pct"/>
            <w:vMerge w:val="restart"/>
            <w:vAlign w:val="center"/>
          </w:tcPr>
          <w:p w14:paraId="7BFC9AC7">
            <w:pPr>
              <w:spacing w:line="360" w:lineRule="auto"/>
              <w:ind w:left="113" w:right="113"/>
              <w:jc w:val="center"/>
              <w:rPr>
                <w:rFonts w:ascii="宋体" w:hAnsi="宋体" w:cs="宋体"/>
                <w:bCs/>
                <w:sz w:val="21"/>
                <w:szCs w:val="21"/>
              </w:rPr>
            </w:pPr>
            <w:r>
              <w:rPr>
                <w:rFonts w:hint="eastAsia" w:ascii="宋体" w:hAnsi="宋体" w:cs="宋体"/>
                <w:bCs/>
                <w:sz w:val="21"/>
                <w:szCs w:val="21"/>
              </w:rPr>
              <w:t>2</w:t>
            </w:r>
          </w:p>
        </w:tc>
        <w:tc>
          <w:tcPr>
            <w:tcW w:w="618" w:type="pct"/>
            <w:vMerge w:val="restart"/>
            <w:vAlign w:val="center"/>
          </w:tcPr>
          <w:p w14:paraId="64317D8B">
            <w:pPr>
              <w:spacing w:line="360" w:lineRule="auto"/>
              <w:jc w:val="center"/>
              <w:rPr>
                <w:rFonts w:ascii="宋体" w:hAnsi="宋体" w:cs="宋体"/>
                <w:bCs/>
                <w:sz w:val="21"/>
                <w:szCs w:val="21"/>
              </w:rPr>
            </w:pPr>
            <w:r>
              <w:rPr>
                <w:rFonts w:hint="eastAsia" w:ascii="宋体" w:hAnsi="宋体" w:cs="宋体"/>
                <w:bCs/>
                <w:sz w:val="21"/>
                <w:szCs w:val="21"/>
              </w:rPr>
              <w:t>响应性评审标准</w:t>
            </w:r>
          </w:p>
        </w:tc>
        <w:tc>
          <w:tcPr>
            <w:tcW w:w="1183" w:type="pct"/>
            <w:vAlign w:val="center"/>
          </w:tcPr>
          <w:p w14:paraId="5A682D9C">
            <w:pPr>
              <w:spacing w:line="360" w:lineRule="auto"/>
              <w:jc w:val="center"/>
              <w:rPr>
                <w:rFonts w:ascii="宋体" w:hAnsi="宋体"/>
                <w:sz w:val="21"/>
                <w:szCs w:val="21"/>
              </w:rPr>
            </w:pPr>
            <w:r>
              <w:rPr>
                <w:rFonts w:hint="eastAsia" w:ascii="宋体" w:hAnsi="宋体" w:cs="宋体"/>
                <w:sz w:val="21"/>
                <w:szCs w:val="21"/>
              </w:rPr>
              <w:t>供货及安装期</w:t>
            </w:r>
          </w:p>
        </w:tc>
        <w:tc>
          <w:tcPr>
            <w:tcW w:w="2921" w:type="pct"/>
            <w:vAlign w:val="center"/>
          </w:tcPr>
          <w:p w14:paraId="24606018">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r w14:paraId="21E5D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276" w:type="pct"/>
            <w:vMerge w:val="continue"/>
            <w:textDirection w:val="tbRlV"/>
            <w:vAlign w:val="center"/>
          </w:tcPr>
          <w:p w14:paraId="67036CAF">
            <w:pPr>
              <w:spacing w:line="360" w:lineRule="auto"/>
              <w:jc w:val="center"/>
              <w:rPr>
                <w:rFonts w:ascii="宋体" w:hAnsi="宋体" w:cs="宋体"/>
                <w:bCs/>
                <w:sz w:val="21"/>
                <w:szCs w:val="21"/>
              </w:rPr>
            </w:pPr>
          </w:p>
        </w:tc>
        <w:tc>
          <w:tcPr>
            <w:tcW w:w="618" w:type="pct"/>
            <w:vMerge w:val="continue"/>
            <w:textDirection w:val="tbRlV"/>
            <w:vAlign w:val="center"/>
          </w:tcPr>
          <w:p w14:paraId="75EEBC97">
            <w:pPr>
              <w:spacing w:line="360" w:lineRule="auto"/>
              <w:jc w:val="center"/>
              <w:rPr>
                <w:rFonts w:ascii="宋体" w:hAnsi="宋体" w:cs="宋体"/>
                <w:bCs/>
                <w:sz w:val="21"/>
                <w:szCs w:val="21"/>
              </w:rPr>
            </w:pPr>
          </w:p>
        </w:tc>
        <w:tc>
          <w:tcPr>
            <w:tcW w:w="1183" w:type="pct"/>
            <w:vAlign w:val="center"/>
          </w:tcPr>
          <w:p w14:paraId="6E6B52EE">
            <w:pPr>
              <w:spacing w:line="360" w:lineRule="auto"/>
              <w:jc w:val="center"/>
              <w:rPr>
                <w:rFonts w:ascii="宋体" w:hAnsi="宋体"/>
                <w:sz w:val="21"/>
                <w:szCs w:val="21"/>
              </w:rPr>
            </w:pPr>
            <w:r>
              <w:rPr>
                <w:rFonts w:ascii="宋体" w:hAnsi="宋体"/>
                <w:sz w:val="21"/>
                <w:szCs w:val="21"/>
              </w:rPr>
              <w:t>质量</w:t>
            </w:r>
            <w:r>
              <w:rPr>
                <w:rFonts w:hint="eastAsia" w:ascii="宋体" w:hAnsi="宋体"/>
                <w:sz w:val="21"/>
                <w:szCs w:val="21"/>
              </w:rPr>
              <w:t>要求</w:t>
            </w:r>
          </w:p>
        </w:tc>
        <w:tc>
          <w:tcPr>
            <w:tcW w:w="2921" w:type="pct"/>
            <w:vAlign w:val="center"/>
          </w:tcPr>
          <w:p w14:paraId="5B01E9AA">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r w14:paraId="6FE86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276" w:type="pct"/>
            <w:vMerge w:val="continue"/>
            <w:textDirection w:val="tbRlV"/>
            <w:vAlign w:val="center"/>
          </w:tcPr>
          <w:p w14:paraId="374B1020">
            <w:pPr>
              <w:spacing w:line="360" w:lineRule="auto"/>
              <w:jc w:val="center"/>
              <w:rPr>
                <w:rFonts w:ascii="宋体" w:hAnsi="宋体" w:cs="宋体"/>
                <w:bCs/>
                <w:sz w:val="21"/>
                <w:szCs w:val="21"/>
              </w:rPr>
            </w:pPr>
          </w:p>
        </w:tc>
        <w:tc>
          <w:tcPr>
            <w:tcW w:w="618" w:type="pct"/>
            <w:vMerge w:val="continue"/>
            <w:textDirection w:val="tbRlV"/>
            <w:vAlign w:val="center"/>
          </w:tcPr>
          <w:p w14:paraId="666CD3AB">
            <w:pPr>
              <w:spacing w:line="360" w:lineRule="auto"/>
              <w:jc w:val="center"/>
              <w:rPr>
                <w:rFonts w:ascii="宋体" w:hAnsi="宋体" w:cs="宋体"/>
                <w:bCs/>
                <w:sz w:val="21"/>
                <w:szCs w:val="21"/>
              </w:rPr>
            </w:pPr>
          </w:p>
        </w:tc>
        <w:tc>
          <w:tcPr>
            <w:tcW w:w="1183" w:type="pct"/>
            <w:shd w:val="clear" w:color="auto" w:fill="auto"/>
            <w:vAlign w:val="center"/>
          </w:tcPr>
          <w:p w14:paraId="7075A546">
            <w:pPr>
              <w:spacing w:line="360" w:lineRule="auto"/>
              <w:jc w:val="center"/>
              <w:rPr>
                <w:rFonts w:ascii="宋体" w:hAnsi="宋体"/>
                <w:sz w:val="21"/>
                <w:szCs w:val="21"/>
              </w:rPr>
            </w:pPr>
            <w:r>
              <w:rPr>
                <w:rFonts w:ascii="宋体" w:hAnsi="宋体"/>
                <w:sz w:val="21"/>
                <w:szCs w:val="21"/>
              </w:rPr>
              <w:t>投标有效期</w:t>
            </w:r>
          </w:p>
        </w:tc>
        <w:tc>
          <w:tcPr>
            <w:tcW w:w="2921" w:type="pct"/>
            <w:shd w:val="clear" w:color="auto" w:fill="auto"/>
            <w:vAlign w:val="center"/>
          </w:tcPr>
          <w:p w14:paraId="37668C6F">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r w14:paraId="42EB4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276" w:type="pct"/>
            <w:vMerge w:val="continue"/>
            <w:vAlign w:val="center"/>
          </w:tcPr>
          <w:p w14:paraId="249CC359">
            <w:pPr>
              <w:spacing w:line="360" w:lineRule="auto"/>
              <w:jc w:val="center"/>
              <w:rPr>
                <w:rFonts w:ascii="宋体" w:hAnsi="宋体" w:cs="宋体"/>
                <w:bCs/>
                <w:sz w:val="21"/>
                <w:szCs w:val="21"/>
              </w:rPr>
            </w:pPr>
          </w:p>
        </w:tc>
        <w:tc>
          <w:tcPr>
            <w:tcW w:w="618" w:type="pct"/>
            <w:vMerge w:val="continue"/>
            <w:vAlign w:val="center"/>
          </w:tcPr>
          <w:p w14:paraId="281F67F0">
            <w:pPr>
              <w:spacing w:line="360" w:lineRule="auto"/>
              <w:jc w:val="center"/>
              <w:rPr>
                <w:rFonts w:ascii="宋体" w:hAnsi="宋体" w:cs="宋体"/>
                <w:bCs/>
                <w:sz w:val="21"/>
                <w:szCs w:val="21"/>
              </w:rPr>
            </w:pPr>
          </w:p>
        </w:tc>
        <w:tc>
          <w:tcPr>
            <w:tcW w:w="1183" w:type="pct"/>
            <w:vAlign w:val="center"/>
          </w:tcPr>
          <w:p w14:paraId="22C79D0A">
            <w:pPr>
              <w:spacing w:line="360" w:lineRule="auto"/>
              <w:jc w:val="center"/>
              <w:rPr>
                <w:rFonts w:ascii="宋体" w:hAnsi="宋体"/>
                <w:sz w:val="21"/>
                <w:szCs w:val="21"/>
              </w:rPr>
            </w:pPr>
            <w:r>
              <w:rPr>
                <w:rFonts w:hint="eastAsia" w:ascii="宋体" w:hAnsi="宋体"/>
                <w:sz w:val="21"/>
                <w:szCs w:val="21"/>
              </w:rPr>
              <w:t>其他实质性内容</w:t>
            </w:r>
          </w:p>
        </w:tc>
        <w:tc>
          <w:tcPr>
            <w:tcW w:w="2921" w:type="pct"/>
            <w:vAlign w:val="center"/>
          </w:tcPr>
          <w:p w14:paraId="4BC2DB23">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bl>
    <w:p w14:paraId="61E4E2E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对投标无效的投标人，采购人或采购代理机构应当告知其投标无效的原因。</w:t>
      </w:r>
    </w:p>
    <w:p w14:paraId="7C2B9067">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19.1.3 投标文件报价出现前后不一致的，按照下列规定修正：</w:t>
      </w:r>
    </w:p>
    <w:p w14:paraId="74B42C3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（1）大写金额和小写金额不一致的，以大写金额为准；</w:t>
      </w:r>
    </w:p>
    <w:p w14:paraId="5F9B0EF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（2）单价金额小数点或者百分比有明显错位的，以开标一览表的总价为准，并修改单价；</w:t>
      </w:r>
    </w:p>
    <w:p w14:paraId="159B0B92">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（3）总价金额与按单价汇总金额不一致的，以单价金额计算结果为准。</w:t>
      </w:r>
    </w:p>
    <w:p w14:paraId="62C92A0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同时出现两种以上不一致的，按照前款规定的顺序修正。修正后的报价按19.1.1第二款的规定经投标人确认后产生约束力，投标人不确认的，其投标无效。</w:t>
      </w:r>
    </w:p>
    <w:p w14:paraId="3B202D95">
      <w:pPr>
        <w:autoSpaceDE w:val="0"/>
        <w:autoSpaceDN w:val="0"/>
        <w:spacing w:line="360" w:lineRule="auto"/>
        <w:ind w:firstLine="420" w:firstLineChars="200"/>
        <w:rPr>
          <w:lang w:val="zh-CN"/>
        </w:rPr>
      </w:pPr>
      <w:r>
        <w:rPr>
          <w:rFonts w:hint="eastAsia" w:ascii="宋体" w:hAnsi="宋体" w:cs="宋体"/>
          <w:kern w:val="0"/>
          <w:sz w:val="21"/>
          <w:szCs w:val="21"/>
        </w:rPr>
        <w:t xml:space="preserve">19.2 </w:t>
      </w:r>
      <w:r>
        <w:rPr>
          <w:rFonts w:hint="eastAsia" w:ascii="宋体" w:hAnsi="宋体" w:cs="宋体"/>
          <w:kern w:val="0"/>
          <w:sz w:val="21"/>
          <w:szCs w:val="21"/>
          <w:lang w:val="zh-CN"/>
        </w:rPr>
        <w:t>评审过程中，在同等条件下，优先采购具有环境标志、节能、自主创新的产品。</w:t>
      </w:r>
    </w:p>
    <w:p w14:paraId="269F2872">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19.3 </w:t>
      </w:r>
      <w:r>
        <w:rPr>
          <w:rFonts w:hint="eastAsia" w:ascii="宋体" w:hAnsi="宋体" w:cs="宋体"/>
          <w:kern w:val="0"/>
          <w:sz w:val="21"/>
          <w:szCs w:val="21"/>
          <w:lang w:val="zh-CN"/>
        </w:rPr>
        <w:t>在评审过程中，</w:t>
      </w:r>
      <w:r>
        <w:rPr>
          <w:rFonts w:hint="eastAsia" w:ascii="宋体" w:hAnsi="宋体" w:cs="宋体"/>
          <w:sz w:val="21"/>
          <w:szCs w:val="21"/>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14:paraId="3431F7B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w:t>
      </w:r>
      <w:r>
        <w:rPr>
          <w:rFonts w:hint="eastAsia" w:ascii="宋体" w:hAnsi="宋体" w:cs="宋体"/>
          <w:kern w:val="0"/>
          <w:sz w:val="21"/>
          <w:szCs w:val="21"/>
        </w:rPr>
        <w:t>9</w:t>
      </w:r>
      <w:r>
        <w:rPr>
          <w:rFonts w:hint="eastAsia" w:ascii="宋体" w:hAnsi="宋体" w:cs="宋体"/>
          <w:kern w:val="0"/>
          <w:sz w:val="21"/>
          <w:szCs w:val="21"/>
          <w:lang w:val="zh-CN"/>
        </w:rPr>
        <w:t>.</w:t>
      </w:r>
      <w:r>
        <w:rPr>
          <w:rFonts w:hint="eastAsia" w:ascii="宋体" w:hAnsi="宋体" w:cs="宋体"/>
          <w:kern w:val="0"/>
          <w:sz w:val="21"/>
          <w:szCs w:val="21"/>
        </w:rPr>
        <w:t>4</w:t>
      </w:r>
      <w:r>
        <w:rPr>
          <w:rFonts w:hint="eastAsia" w:ascii="宋体" w:hAnsi="宋体" w:cs="宋体"/>
          <w:kern w:val="0"/>
          <w:sz w:val="21"/>
          <w:szCs w:val="21"/>
          <w:lang w:val="zh-CN"/>
        </w:rPr>
        <w:t xml:space="preserve"> </w:t>
      </w:r>
      <w:r>
        <w:rPr>
          <w:rFonts w:hint="eastAsia" w:ascii="宋体" w:hAnsi="宋体" w:cs="宋体"/>
          <w:sz w:val="21"/>
          <w:szCs w:val="21"/>
          <w:shd w:val="clear" w:color="auto" w:fill="FFFFFF"/>
        </w:rPr>
        <w:t>评标委员会应当按照招标文件中规定的评标方法和标准，对符合性审查合格的投标文件进行商务和技术评估，综合比较与评价。</w:t>
      </w:r>
    </w:p>
    <w:p w14:paraId="16B19CFA">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1</w:t>
      </w:r>
      <w:r>
        <w:rPr>
          <w:rFonts w:hint="eastAsia" w:ascii="宋体" w:hAnsi="宋体" w:cs="宋体"/>
          <w:kern w:val="0"/>
          <w:sz w:val="21"/>
          <w:szCs w:val="21"/>
        </w:rPr>
        <w:t>9</w:t>
      </w:r>
      <w:r>
        <w:rPr>
          <w:rFonts w:hint="eastAsia" w:ascii="宋体" w:hAnsi="宋体" w:cs="宋体"/>
          <w:kern w:val="0"/>
          <w:sz w:val="21"/>
          <w:szCs w:val="21"/>
          <w:lang w:val="zh-CN"/>
        </w:rPr>
        <w:t>.</w:t>
      </w:r>
      <w:r>
        <w:rPr>
          <w:rFonts w:hint="eastAsia" w:ascii="宋体" w:hAnsi="宋体" w:cs="宋体"/>
          <w:kern w:val="0"/>
          <w:sz w:val="21"/>
          <w:szCs w:val="21"/>
        </w:rPr>
        <w:t xml:space="preserve">5 </w:t>
      </w:r>
      <w:r>
        <w:rPr>
          <w:rFonts w:hint="eastAsia" w:ascii="宋体" w:hAnsi="宋体" w:cs="宋体"/>
          <w:sz w:val="21"/>
          <w:szCs w:val="21"/>
          <w:shd w:val="clear" w:color="auto" w:fill="FFFFFF"/>
        </w:rPr>
        <w:t>评标委员会认为投标人的报价明显低于其他通过符合性审查投标人的报价，有可能影响产品质量或者不能诚信履约的，应当要求其在评标现场合理的时间</w:t>
      </w:r>
      <w:r>
        <w:rPr>
          <w:rFonts w:hint="eastAsia" w:ascii="宋体" w:hAnsi="宋体" w:cs="宋体"/>
          <w:sz w:val="21"/>
          <w:szCs w:val="21"/>
          <w:shd w:val="clear" w:color="auto" w:fill="FFFFFF"/>
          <w:lang w:eastAsia="zh-CN"/>
        </w:rPr>
        <w:t>（</w:t>
      </w:r>
      <w:r>
        <w:rPr>
          <w:rFonts w:hint="eastAsia" w:ascii="宋体" w:hAnsi="宋体" w:cs="宋体"/>
          <w:sz w:val="21"/>
          <w:szCs w:val="21"/>
          <w:shd w:val="clear" w:color="auto" w:fill="FFFFFF"/>
        </w:rPr>
        <w:t>1个小时）内提供书面说明，必要时提交相关证明材料；投标人不能证明其报价合理性的，评标委员会应当将其作为无效投标处理。</w:t>
      </w:r>
    </w:p>
    <w:p w14:paraId="67F99BBF">
      <w:pPr>
        <w:spacing w:line="360" w:lineRule="auto"/>
        <w:outlineLvl w:val="2"/>
        <w:rPr>
          <w:rFonts w:ascii="宋体" w:hAnsi="宋体" w:cs="宋体"/>
          <w:b/>
          <w:bCs/>
          <w:sz w:val="21"/>
          <w:szCs w:val="21"/>
          <w:lang w:val="zh-CN"/>
        </w:rPr>
      </w:pPr>
      <w:bookmarkStart w:id="666" w:name="_Toc1626"/>
      <w:bookmarkStart w:id="667" w:name="_Toc11932"/>
      <w:bookmarkStart w:id="668" w:name="_Toc19290"/>
      <w:bookmarkStart w:id="669" w:name="_Toc1462"/>
      <w:bookmarkStart w:id="670" w:name="_Toc18591"/>
      <w:bookmarkStart w:id="671" w:name="_Toc3670"/>
      <w:bookmarkStart w:id="672" w:name="_Toc31229"/>
      <w:bookmarkStart w:id="673" w:name="_Toc17204"/>
      <w:bookmarkStart w:id="674" w:name="_Toc3798"/>
      <w:bookmarkStart w:id="675" w:name="_Toc5426_WPSOffice_Level3"/>
      <w:bookmarkStart w:id="676" w:name="_Toc1781"/>
      <w:bookmarkStart w:id="677" w:name="_Toc29090"/>
      <w:bookmarkStart w:id="678" w:name="_Toc16365"/>
      <w:bookmarkStart w:id="679" w:name="_Toc2222"/>
      <w:bookmarkStart w:id="680" w:name="_Toc17823"/>
      <w:bookmarkStart w:id="681" w:name="_Toc2947"/>
      <w:bookmarkStart w:id="682" w:name="_Toc1305"/>
      <w:bookmarkStart w:id="683" w:name="_Toc5153"/>
      <w:bookmarkStart w:id="684" w:name="_Toc20692"/>
      <w:bookmarkStart w:id="685" w:name="_Toc18404"/>
      <w:bookmarkStart w:id="686" w:name="_Toc11702"/>
      <w:r>
        <w:rPr>
          <w:rFonts w:hint="eastAsia" w:ascii="宋体" w:hAnsi="宋体" w:cs="宋体"/>
          <w:b/>
          <w:bCs/>
          <w:sz w:val="21"/>
          <w:szCs w:val="21"/>
          <w:lang w:val="zh-CN"/>
        </w:rPr>
        <w:t>20.评审方法和标准</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14:paraId="2E6954C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20</w:t>
      </w:r>
      <w:r>
        <w:rPr>
          <w:rFonts w:hint="eastAsia" w:ascii="宋体" w:hAnsi="宋体" w:cs="宋体"/>
          <w:kern w:val="0"/>
          <w:sz w:val="21"/>
          <w:szCs w:val="21"/>
          <w:lang w:val="zh-CN"/>
        </w:rPr>
        <w:t>.1</w:t>
      </w:r>
      <w:r>
        <w:rPr>
          <w:rFonts w:hint="eastAsia" w:ascii="宋体" w:hAnsi="宋体" w:cs="宋体"/>
          <w:kern w:val="0"/>
          <w:sz w:val="21"/>
          <w:szCs w:val="21"/>
        </w:rPr>
        <w:t xml:space="preserve"> </w:t>
      </w:r>
      <w:r>
        <w:rPr>
          <w:rFonts w:hint="eastAsia" w:ascii="宋体" w:hAnsi="宋体" w:cs="宋体"/>
          <w:kern w:val="0"/>
          <w:sz w:val="21"/>
          <w:szCs w:val="21"/>
          <w:lang w:val="zh-CN"/>
        </w:rPr>
        <w:t>依照《中华人民共和国政府采购法》《中华人民共和国政府采购法实施条例》《政府采购货物和服务招投标管理办法》等法律法规的规定，结合该项目的特点制定本评审办法。</w:t>
      </w:r>
    </w:p>
    <w:p w14:paraId="3B75CA2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20</w:t>
      </w:r>
      <w:r>
        <w:rPr>
          <w:rFonts w:hint="eastAsia" w:ascii="宋体" w:hAnsi="宋体" w:cs="宋体"/>
          <w:kern w:val="0"/>
          <w:sz w:val="21"/>
          <w:szCs w:val="21"/>
          <w:lang w:val="zh-CN"/>
        </w:rPr>
        <w:t>.2</w:t>
      </w:r>
      <w:r>
        <w:rPr>
          <w:rFonts w:hint="eastAsia" w:ascii="宋体" w:hAnsi="宋体" w:cs="宋体"/>
          <w:kern w:val="0"/>
          <w:sz w:val="21"/>
          <w:szCs w:val="21"/>
        </w:rPr>
        <w:t xml:space="preserve"> </w:t>
      </w:r>
      <w:r>
        <w:rPr>
          <w:rFonts w:hint="eastAsia" w:ascii="宋体" w:hAnsi="宋体" w:cs="宋体"/>
          <w:kern w:val="0"/>
          <w:sz w:val="21"/>
          <w:szCs w:val="21"/>
          <w:lang w:val="zh-CN"/>
        </w:rPr>
        <w:t>本次评审方法采用综合评分法</w:t>
      </w:r>
      <w:r>
        <w:rPr>
          <w:rFonts w:hint="eastAsia" w:ascii="宋体" w:hAnsi="宋体" w:cs="宋体"/>
          <w:kern w:val="0"/>
          <w:sz w:val="21"/>
          <w:szCs w:val="21"/>
        </w:rPr>
        <w:t>。</w:t>
      </w:r>
    </w:p>
    <w:p w14:paraId="21967E77">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综合评分法，</w:t>
      </w:r>
      <w:r>
        <w:rPr>
          <w:rFonts w:hint="eastAsia" w:ascii="宋体" w:hAnsi="宋体" w:cs="宋体"/>
          <w:sz w:val="21"/>
          <w:szCs w:val="21"/>
          <w:shd w:val="clear" w:color="auto" w:fill="FFFFFF"/>
        </w:rPr>
        <w:t>是指投标文件满足招标文件全部实质性要求，且按照评审因素的量化指标评审得分最高的投标人为中标候选人的评标方法</w:t>
      </w:r>
      <w:r>
        <w:rPr>
          <w:rFonts w:hint="eastAsia" w:ascii="宋体" w:hAnsi="宋体" w:cs="宋体"/>
          <w:kern w:val="0"/>
          <w:sz w:val="21"/>
          <w:szCs w:val="21"/>
          <w:lang w:val="zh-CN"/>
        </w:rPr>
        <w:t>。评分办法如下：</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1"/>
        <w:gridCol w:w="1224"/>
        <w:gridCol w:w="903"/>
        <w:gridCol w:w="7237"/>
      </w:tblGrid>
      <w:tr w14:paraId="67505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73" w:type="pct"/>
            <w:tcBorders>
              <w:top w:val="single" w:color="auto" w:sz="4" w:space="0"/>
              <w:left w:val="single" w:color="auto" w:sz="4" w:space="0"/>
              <w:bottom w:val="single" w:color="auto" w:sz="4" w:space="0"/>
              <w:right w:val="single" w:color="auto" w:sz="4" w:space="0"/>
            </w:tcBorders>
            <w:vAlign w:val="center"/>
          </w:tcPr>
          <w:p w14:paraId="1C745737">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序号</w:t>
            </w:r>
          </w:p>
        </w:tc>
        <w:tc>
          <w:tcPr>
            <w:tcW w:w="618" w:type="pct"/>
            <w:tcBorders>
              <w:top w:val="single" w:color="auto" w:sz="4" w:space="0"/>
              <w:left w:val="single" w:color="auto" w:sz="4" w:space="0"/>
              <w:bottom w:val="single" w:color="auto" w:sz="4" w:space="0"/>
              <w:right w:val="single" w:color="auto" w:sz="4" w:space="0"/>
            </w:tcBorders>
            <w:vAlign w:val="center"/>
          </w:tcPr>
          <w:p w14:paraId="2626773D">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评分因素</w:t>
            </w:r>
          </w:p>
        </w:tc>
        <w:tc>
          <w:tcPr>
            <w:tcW w:w="456" w:type="pct"/>
            <w:tcBorders>
              <w:top w:val="single" w:color="auto" w:sz="4" w:space="0"/>
              <w:left w:val="single" w:color="auto" w:sz="4" w:space="0"/>
              <w:bottom w:val="single" w:color="auto" w:sz="4" w:space="0"/>
              <w:right w:val="single" w:color="auto" w:sz="4" w:space="0"/>
            </w:tcBorders>
            <w:vAlign w:val="center"/>
          </w:tcPr>
          <w:p w14:paraId="13358AB4">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分值</w:t>
            </w:r>
          </w:p>
        </w:tc>
        <w:tc>
          <w:tcPr>
            <w:tcW w:w="3651" w:type="pct"/>
            <w:tcBorders>
              <w:top w:val="single" w:color="auto" w:sz="4" w:space="0"/>
              <w:left w:val="single" w:color="auto" w:sz="4" w:space="0"/>
              <w:bottom w:val="single" w:color="auto" w:sz="4" w:space="0"/>
              <w:right w:val="single" w:color="auto" w:sz="4" w:space="0"/>
            </w:tcBorders>
            <w:vAlign w:val="center"/>
          </w:tcPr>
          <w:p w14:paraId="5561E9E4">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评分标准</w:t>
            </w:r>
          </w:p>
        </w:tc>
      </w:tr>
      <w:tr w14:paraId="75BD4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73" w:type="pct"/>
            <w:tcBorders>
              <w:top w:val="single" w:color="auto" w:sz="4" w:space="0"/>
              <w:left w:val="single" w:color="auto" w:sz="4" w:space="0"/>
              <w:bottom w:val="single" w:color="auto" w:sz="4" w:space="0"/>
              <w:right w:val="single" w:color="auto" w:sz="4" w:space="0"/>
            </w:tcBorders>
            <w:vAlign w:val="center"/>
          </w:tcPr>
          <w:p w14:paraId="0E243BC5">
            <w:pPr>
              <w:spacing w:line="360" w:lineRule="auto"/>
              <w:jc w:val="center"/>
              <w:rPr>
                <w:rFonts w:ascii="宋体" w:hAnsi="宋体" w:cs="宋体"/>
                <w:color w:val="000000"/>
                <w:kern w:val="0"/>
                <w:sz w:val="21"/>
                <w:szCs w:val="21"/>
              </w:rPr>
            </w:pPr>
            <w:r>
              <w:rPr>
                <w:rFonts w:ascii="宋体" w:hAnsi="宋体" w:cs="宋体"/>
                <w:color w:val="000000"/>
                <w:kern w:val="0"/>
                <w:sz w:val="21"/>
                <w:szCs w:val="21"/>
              </w:rPr>
              <w:t>1</w:t>
            </w:r>
          </w:p>
        </w:tc>
        <w:tc>
          <w:tcPr>
            <w:tcW w:w="618" w:type="pct"/>
            <w:tcBorders>
              <w:top w:val="single" w:color="auto" w:sz="4" w:space="0"/>
              <w:left w:val="single" w:color="auto" w:sz="4" w:space="0"/>
              <w:bottom w:val="single" w:color="auto" w:sz="4" w:space="0"/>
              <w:right w:val="single" w:color="auto" w:sz="4" w:space="0"/>
            </w:tcBorders>
            <w:vAlign w:val="center"/>
          </w:tcPr>
          <w:p w14:paraId="66B7599D">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投标报价部分</w:t>
            </w:r>
          </w:p>
        </w:tc>
        <w:tc>
          <w:tcPr>
            <w:tcW w:w="456" w:type="pct"/>
            <w:tcBorders>
              <w:top w:val="single" w:color="auto" w:sz="4" w:space="0"/>
              <w:left w:val="single" w:color="auto" w:sz="4" w:space="0"/>
              <w:bottom w:val="single" w:color="auto" w:sz="4" w:space="0"/>
              <w:right w:val="single" w:color="auto" w:sz="4" w:space="0"/>
            </w:tcBorders>
            <w:vAlign w:val="center"/>
          </w:tcPr>
          <w:p w14:paraId="4FA6CD69">
            <w:pPr>
              <w:spacing w:line="360" w:lineRule="auto"/>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rPr>
              <w:t>3</w:t>
            </w:r>
            <w:r>
              <w:rPr>
                <w:rFonts w:ascii="宋体" w:hAnsi="宋体" w:cs="宋体"/>
                <w:color w:val="000000"/>
                <w:kern w:val="0"/>
                <w:sz w:val="21"/>
                <w:szCs w:val="21"/>
              </w:rPr>
              <w:t>0</w:t>
            </w:r>
            <w:r>
              <w:rPr>
                <w:rFonts w:hint="eastAsia" w:ascii="宋体" w:hAnsi="宋体" w:cs="宋体"/>
                <w:color w:val="000000"/>
                <w:kern w:val="0"/>
                <w:sz w:val="21"/>
                <w:szCs w:val="21"/>
                <w:lang w:val="en-US" w:eastAsia="zh-CN"/>
              </w:rPr>
              <w:t>分</w:t>
            </w:r>
          </w:p>
        </w:tc>
        <w:tc>
          <w:tcPr>
            <w:tcW w:w="3651" w:type="pct"/>
            <w:tcBorders>
              <w:top w:val="single" w:color="auto" w:sz="4" w:space="0"/>
              <w:left w:val="single" w:color="auto" w:sz="4" w:space="0"/>
              <w:bottom w:val="single" w:color="auto" w:sz="4" w:space="0"/>
              <w:right w:val="single" w:color="auto" w:sz="4" w:space="0"/>
            </w:tcBorders>
            <w:vAlign w:val="center"/>
          </w:tcPr>
          <w:p w14:paraId="5F7989DF">
            <w:pPr>
              <w:autoSpaceDE w:val="0"/>
              <w:autoSpaceDN w:val="0"/>
              <w:spacing w:line="360" w:lineRule="auto"/>
              <w:rPr>
                <w:rFonts w:ascii="宋体" w:hAnsi="宋体"/>
                <w:kern w:val="0"/>
                <w:sz w:val="21"/>
                <w:szCs w:val="21"/>
              </w:rPr>
            </w:pPr>
            <w:r>
              <w:rPr>
                <w:rFonts w:ascii="宋体" w:hAnsi="宋体"/>
                <w:kern w:val="0"/>
                <w:sz w:val="21"/>
                <w:szCs w:val="21"/>
              </w:rPr>
              <w:t>（1）产品项目的价格分值占总分值的比重：30%</w:t>
            </w:r>
          </w:p>
          <w:p w14:paraId="00B1755A">
            <w:pPr>
              <w:autoSpaceDE w:val="0"/>
              <w:autoSpaceDN w:val="0"/>
              <w:spacing w:line="360" w:lineRule="auto"/>
              <w:rPr>
                <w:rFonts w:ascii="宋体" w:hAnsi="宋体"/>
                <w:kern w:val="0"/>
                <w:sz w:val="21"/>
                <w:szCs w:val="21"/>
              </w:rPr>
            </w:pPr>
            <w:r>
              <w:rPr>
                <w:rFonts w:ascii="宋体" w:hAnsi="宋体"/>
                <w:kern w:val="0"/>
                <w:sz w:val="21"/>
                <w:szCs w:val="21"/>
              </w:rPr>
              <w:t>（2）价格分应当采用低价优先法计算，即满足招标文件要求且投标价格最低的投标报价为评标基准价，其价格分为满分。其他投标人的价格分统一按照下列公式计算：投标报价得分=（评标基准价／投标报价）×100×投标报价比重</w:t>
            </w:r>
          </w:p>
          <w:p w14:paraId="10170270">
            <w:pPr>
              <w:autoSpaceDE w:val="0"/>
              <w:autoSpaceDN w:val="0"/>
              <w:spacing w:line="360" w:lineRule="auto"/>
              <w:rPr>
                <w:rFonts w:ascii="宋体" w:hAnsi="宋体"/>
                <w:kern w:val="0"/>
                <w:sz w:val="21"/>
                <w:szCs w:val="21"/>
              </w:rPr>
            </w:pPr>
            <w:r>
              <w:rPr>
                <w:rFonts w:ascii="宋体" w:hAnsi="宋体"/>
                <w:kern w:val="0"/>
                <w:sz w:val="21"/>
                <w:szCs w:val="21"/>
              </w:rPr>
              <w:t>（3）因落实政府采购政策进行价格调整的，以调整后的价格计算评标基准价和投标报价。</w:t>
            </w:r>
          </w:p>
          <w:p w14:paraId="2497450A">
            <w:pPr>
              <w:autoSpaceDE w:val="0"/>
              <w:autoSpaceDN w:val="0"/>
              <w:spacing w:line="360" w:lineRule="auto"/>
              <w:rPr>
                <w:rFonts w:ascii="宋体" w:hAnsi="宋体"/>
                <w:kern w:val="0"/>
                <w:sz w:val="21"/>
                <w:szCs w:val="21"/>
              </w:rPr>
            </w:pPr>
            <w:r>
              <w:rPr>
                <w:rFonts w:ascii="宋体" w:hAnsi="宋体"/>
                <w:kern w:val="0"/>
                <w:sz w:val="21"/>
                <w:szCs w:val="21"/>
              </w:rPr>
              <w:t>（4）执行国家统一定价标准和采用固定价格采购的项目，其价格不列为评审因素。</w:t>
            </w:r>
          </w:p>
          <w:p w14:paraId="30A6C88E">
            <w:pPr>
              <w:autoSpaceDE w:val="0"/>
              <w:autoSpaceDN w:val="0"/>
              <w:spacing w:line="360" w:lineRule="auto"/>
              <w:rPr>
                <w:rFonts w:ascii="宋体" w:hAnsi="宋体"/>
                <w:kern w:val="0"/>
                <w:sz w:val="21"/>
                <w:szCs w:val="21"/>
              </w:rPr>
            </w:pPr>
            <w:r>
              <w:rPr>
                <w:rFonts w:ascii="宋体" w:hAnsi="宋体"/>
                <w:kern w:val="0"/>
                <w:sz w:val="21"/>
                <w:szCs w:val="21"/>
              </w:rPr>
              <w:t>备注：</w:t>
            </w:r>
          </w:p>
          <w:p w14:paraId="0DE55D23">
            <w:pPr>
              <w:autoSpaceDE w:val="0"/>
              <w:autoSpaceDN w:val="0"/>
              <w:spacing w:line="360" w:lineRule="auto"/>
              <w:rPr>
                <w:rFonts w:ascii="宋体" w:hAnsi="宋体"/>
                <w:kern w:val="0"/>
                <w:sz w:val="21"/>
                <w:szCs w:val="21"/>
              </w:rPr>
            </w:pPr>
            <w:r>
              <w:rPr>
                <w:rFonts w:ascii="宋体" w:hAnsi="宋体"/>
                <w:kern w:val="0"/>
                <w:sz w:val="21"/>
                <w:szCs w:val="21"/>
              </w:rPr>
              <w:t>1）为了促进中小企业发展，根据《中华人民共和国政府采购法实施条例》第六条和</w:t>
            </w:r>
            <w:r>
              <w:rPr>
                <w:rFonts w:hint="eastAsia" w:ascii="宋体" w:hAnsi="宋体"/>
                <w:kern w:val="0"/>
                <w:sz w:val="21"/>
                <w:szCs w:val="21"/>
              </w:rPr>
              <w:t>财库〔2020〕46号</w:t>
            </w:r>
            <w:r>
              <w:rPr>
                <w:rFonts w:ascii="宋体" w:hAnsi="宋体"/>
                <w:kern w:val="0"/>
                <w:sz w:val="21"/>
                <w:szCs w:val="21"/>
              </w:rPr>
              <w:t>规定，给予小型或微型企业价格</w:t>
            </w:r>
            <w:r>
              <w:rPr>
                <w:rFonts w:hint="eastAsia" w:ascii="宋体" w:hAnsi="宋体"/>
                <w:kern w:val="0"/>
                <w:sz w:val="21"/>
                <w:szCs w:val="21"/>
              </w:rPr>
              <w:t>20</w:t>
            </w:r>
            <w:r>
              <w:rPr>
                <w:rFonts w:ascii="宋体" w:hAnsi="宋体"/>
                <w:kern w:val="0"/>
                <w:sz w:val="21"/>
                <w:szCs w:val="21"/>
              </w:rPr>
              <w:t>%的扣除，用扣除后的价格参与评审。即所投中小微企业产品报价=所投中小微企业产品报价合计×（1-</w:t>
            </w:r>
            <w:r>
              <w:rPr>
                <w:rFonts w:hint="eastAsia" w:ascii="宋体" w:hAnsi="宋体"/>
                <w:kern w:val="0"/>
                <w:sz w:val="21"/>
                <w:szCs w:val="21"/>
              </w:rPr>
              <w:t>20</w:t>
            </w:r>
            <w:r>
              <w:rPr>
                <w:rFonts w:ascii="宋体" w:hAnsi="宋体"/>
                <w:kern w:val="0"/>
                <w:sz w:val="21"/>
                <w:szCs w:val="21"/>
              </w:rPr>
              <w:t>%）。</w:t>
            </w:r>
          </w:p>
          <w:p w14:paraId="7BD001A3">
            <w:pPr>
              <w:autoSpaceDE w:val="0"/>
              <w:autoSpaceDN w:val="0"/>
              <w:spacing w:line="360" w:lineRule="auto"/>
              <w:rPr>
                <w:rFonts w:ascii="宋体" w:hAnsi="宋体"/>
                <w:kern w:val="0"/>
                <w:sz w:val="21"/>
                <w:szCs w:val="21"/>
              </w:rPr>
            </w:pPr>
            <w:r>
              <w:rPr>
                <w:rFonts w:ascii="宋体" w:hAnsi="宋体"/>
                <w:kern w:val="0"/>
                <w:sz w:val="21"/>
                <w:szCs w:val="21"/>
              </w:rPr>
              <w:t>2）投标报价应是在保证采购要求和服务质量的基础上投报的全费用价格。评标委员会发现投标人的报价明显低于其他投标人，使得其投标报价可能低于其个别成本的，应当要求投标人于投标现场1小时内作出书面说明并提供相关证明材料。投标人不能合理说明或者不能提供相关证明材料的，由评标委员会认定该投标人以低于成本报价竞标，其投标作为无效标处理。</w:t>
            </w:r>
          </w:p>
          <w:p w14:paraId="1228BFE8">
            <w:pPr>
              <w:spacing w:line="360" w:lineRule="auto"/>
              <w:rPr>
                <w:rFonts w:ascii="宋体" w:hAnsi="宋体" w:cs="宋体"/>
                <w:color w:val="000000"/>
                <w:kern w:val="0"/>
                <w:sz w:val="21"/>
                <w:szCs w:val="21"/>
              </w:rPr>
            </w:pPr>
            <w:r>
              <w:rPr>
                <w:rFonts w:hint="eastAsia" w:ascii="宋体" w:hAnsi="宋体"/>
                <w:kern w:val="0"/>
                <w:sz w:val="21"/>
                <w:szCs w:val="21"/>
              </w:rPr>
              <w:t>3）</w:t>
            </w:r>
            <w:r>
              <w:rPr>
                <w:rFonts w:ascii="宋体" w:hAnsi="宋体"/>
                <w:kern w:val="0"/>
                <w:sz w:val="21"/>
                <w:szCs w:val="21"/>
              </w:rPr>
              <w:t>本项目的扣除比例为：小型企业扣除</w:t>
            </w:r>
            <w:r>
              <w:rPr>
                <w:rFonts w:hint="eastAsia" w:ascii="宋体" w:hAnsi="宋体"/>
                <w:kern w:val="0"/>
                <w:sz w:val="21"/>
                <w:szCs w:val="21"/>
              </w:rPr>
              <w:t>20</w:t>
            </w:r>
            <w:r>
              <w:rPr>
                <w:rFonts w:ascii="宋体" w:hAnsi="宋体"/>
                <w:kern w:val="0"/>
                <w:sz w:val="21"/>
                <w:szCs w:val="21"/>
              </w:rPr>
              <w:t>%，微型企业扣除</w:t>
            </w:r>
            <w:r>
              <w:rPr>
                <w:rFonts w:hint="eastAsia" w:ascii="宋体" w:hAnsi="宋体"/>
                <w:kern w:val="0"/>
                <w:sz w:val="21"/>
                <w:szCs w:val="21"/>
              </w:rPr>
              <w:t>20</w:t>
            </w:r>
            <w:r>
              <w:rPr>
                <w:rFonts w:ascii="宋体" w:hAnsi="宋体"/>
                <w:kern w:val="0"/>
                <w:sz w:val="21"/>
                <w:szCs w:val="21"/>
              </w:rPr>
              <w:t>%，监狱企业扣除</w:t>
            </w:r>
            <w:r>
              <w:rPr>
                <w:rFonts w:hint="eastAsia" w:ascii="宋体" w:hAnsi="宋体"/>
                <w:kern w:val="0"/>
                <w:sz w:val="21"/>
                <w:szCs w:val="21"/>
              </w:rPr>
              <w:t>20</w:t>
            </w:r>
            <w:r>
              <w:rPr>
                <w:rFonts w:ascii="宋体" w:hAnsi="宋体"/>
                <w:kern w:val="0"/>
                <w:sz w:val="21"/>
                <w:szCs w:val="21"/>
              </w:rPr>
              <w:t>%，残疾人福利性单位扣除</w:t>
            </w:r>
            <w:r>
              <w:rPr>
                <w:rFonts w:hint="eastAsia" w:ascii="宋体" w:hAnsi="宋体"/>
                <w:kern w:val="0"/>
                <w:sz w:val="21"/>
                <w:szCs w:val="21"/>
              </w:rPr>
              <w:t>20</w:t>
            </w:r>
            <w:r>
              <w:rPr>
                <w:rFonts w:ascii="宋体" w:hAnsi="宋体"/>
                <w:kern w:val="0"/>
                <w:sz w:val="21"/>
                <w:szCs w:val="21"/>
              </w:rPr>
              <w:t>%。</w:t>
            </w:r>
            <w:r>
              <w:rPr>
                <w:rFonts w:hint="eastAsia" w:ascii="宋体" w:hAnsi="宋体"/>
                <w:kern w:val="0"/>
                <w:sz w:val="21"/>
                <w:szCs w:val="21"/>
              </w:rPr>
              <w:t>同一供应商，小微企业、监狱、残疾人福利性企业同一产品价格扣除优惠只享受一次，不得重复享受。</w:t>
            </w:r>
          </w:p>
        </w:tc>
      </w:tr>
      <w:tr w14:paraId="00B3F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273" w:type="pct"/>
            <w:tcBorders>
              <w:top w:val="single" w:color="auto" w:sz="4" w:space="0"/>
              <w:left w:val="single" w:color="auto" w:sz="4" w:space="0"/>
              <w:bottom w:val="single" w:color="auto" w:sz="4" w:space="0"/>
              <w:right w:val="single" w:color="auto" w:sz="4" w:space="0"/>
            </w:tcBorders>
            <w:vAlign w:val="center"/>
          </w:tcPr>
          <w:p w14:paraId="4C93CA64">
            <w:pPr>
              <w:spacing w:line="360" w:lineRule="auto"/>
              <w:jc w:val="center"/>
              <w:rPr>
                <w:rFonts w:ascii="宋体" w:hAnsi="宋体" w:cs="宋体"/>
                <w:color w:val="000000"/>
                <w:kern w:val="0"/>
                <w:sz w:val="21"/>
                <w:szCs w:val="21"/>
              </w:rPr>
            </w:pPr>
            <w:r>
              <w:rPr>
                <w:rFonts w:ascii="宋体" w:hAnsi="宋体" w:cs="宋体"/>
                <w:color w:val="000000"/>
                <w:kern w:val="0"/>
                <w:sz w:val="21"/>
                <w:szCs w:val="21"/>
              </w:rPr>
              <w:t>2</w:t>
            </w:r>
          </w:p>
        </w:tc>
        <w:tc>
          <w:tcPr>
            <w:tcW w:w="618" w:type="pct"/>
            <w:tcBorders>
              <w:top w:val="single" w:color="auto" w:sz="4" w:space="0"/>
              <w:left w:val="single" w:color="auto" w:sz="4" w:space="0"/>
              <w:bottom w:val="single" w:color="auto" w:sz="4" w:space="0"/>
              <w:right w:val="single" w:color="auto" w:sz="4" w:space="0"/>
            </w:tcBorders>
            <w:vAlign w:val="center"/>
          </w:tcPr>
          <w:p w14:paraId="4FA11171">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技术部分</w:t>
            </w:r>
          </w:p>
        </w:tc>
        <w:tc>
          <w:tcPr>
            <w:tcW w:w="456" w:type="pct"/>
            <w:tcBorders>
              <w:top w:val="single" w:color="auto" w:sz="4" w:space="0"/>
              <w:left w:val="single" w:color="auto" w:sz="4" w:space="0"/>
              <w:bottom w:val="single" w:color="auto" w:sz="4" w:space="0"/>
              <w:right w:val="single" w:color="auto" w:sz="4" w:space="0"/>
            </w:tcBorders>
            <w:vAlign w:val="center"/>
          </w:tcPr>
          <w:p w14:paraId="37D6C5C1">
            <w:pPr>
              <w:spacing w:line="360" w:lineRule="auto"/>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2</w:t>
            </w:r>
            <w:r>
              <w:rPr>
                <w:rFonts w:hint="eastAsia" w:ascii="宋体" w:hAnsi="宋体" w:cs="宋体"/>
                <w:color w:val="000000"/>
                <w:kern w:val="0"/>
                <w:sz w:val="21"/>
                <w:szCs w:val="21"/>
              </w:rPr>
              <w:t>0</w:t>
            </w:r>
            <w:r>
              <w:rPr>
                <w:rFonts w:hint="eastAsia" w:ascii="宋体" w:hAnsi="宋体" w:cs="宋体"/>
                <w:color w:val="000000"/>
                <w:kern w:val="0"/>
                <w:sz w:val="21"/>
                <w:szCs w:val="21"/>
                <w:lang w:val="en-US" w:eastAsia="zh-CN"/>
              </w:rPr>
              <w:t>分</w:t>
            </w:r>
          </w:p>
        </w:tc>
        <w:tc>
          <w:tcPr>
            <w:tcW w:w="3651" w:type="pct"/>
            <w:tcBorders>
              <w:top w:val="single" w:color="auto" w:sz="4" w:space="0"/>
              <w:left w:val="single" w:color="auto" w:sz="4" w:space="0"/>
              <w:bottom w:val="single" w:color="auto" w:sz="4" w:space="0"/>
              <w:right w:val="single" w:color="auto" w:sz="4" w:space="0"/>
            </w:tcBorders>
            <w:vAlign w:val="center"/>
          </w:tcPr>
          <w:p w14:paraId="6757D9E3">
            <w:pPr>
              <w:spacing w:line="360" w:lineRule="auto"/>
              <w:rPr>
                <w:rFonts w:ascii="宋体" w:hAnsi="宋体" w:cs="宋体"/>
                <w:color w:val="000000"/>
                <w:kern w:val="0"/>
                <w:sz w:val="21"/>
                <w:szCs w:val="21"/>
              </w:rPr>
            </w:pPr>
            <w:r>
              <w:rPr>
                <w:rFonts w:hint="eastAsia" w:ascii="宋体" w:hAnsi="宋体" w:cs="宋体"/>
                <w:color w:val="000000"/>
                <w:kern w:val="0"/>
                <w:sz w:val="21"/>
                <w:szCs w:val="21"/>
              </w:rPr>
              <w:t>投标产品完全符合或优于招标文件要求，没有负偏离得</w:t>
            </w:r>
            <w:r>
              <w:rPr>
                <w:rFonts w:hint="eastAsia" w:ascii="宋体" w:hAnsi="宋体" w:cs="宋体"/>
                <w:color w:val="000000"/>
                <w:kern w:val="0"/>
                <w:sz w:val="21"/>
                <w:szCs w:val="21"/>
                <w:lang w:val="en-US" w:eastAsia="zh-CN"/>
              </w:rPr>
              <w:t>2</w:t>
            </w:r>
            <w:r>
              <w:rPr>
                <w:rFonts w:hint="eastAsia" w:ascii="宋体" w:hAnsi="宋体" w:cs="宋体"/>
                <w:color w:val="000000"/>
                <w:kern w:val="0"/>
                <w:sz w:val="21"/>
                <w:szCs w:val="21"/>
              </w:rPr>
              <w:t>0分。带★项参数每有一项负偏离扣</w:t>
            </w:r>
            <w:r>
              <w:rPr>
                <w:rFonts w:hint="eastAsia" w:ascii="宋体" w:hAnsi="宋体" w:cs="宋体"/>
                <w:color w:val="000000"/>
                <w:kern w:val="0"/>
                <w:sz w:val="21"/>
                <w:szCs w:val="21"/>
                <w:lang w:val="en-US" w:eastAsia="zh-CN"/>
              </w:rPr>
              <w:t>2</w:t>
            </w:r>
            <w:r>
              <w:rPr>
                <w:rFonts w:hint="eastAsia" w:ascii="宋体" w:hAnsi="宋体" w:cs="宋体"/>
                <w:color w:val="000000"/>
                <w:kern w:val="0"/>
                <w:sz w:val="21"/>
                <w:szCs w:val="21"/>
              </w:rPr>
              <w:t>分，其他参数每有一项负偏离扣1分，以上均扣完为止不倒扣。（未依照招标文件要求提供相应证明材料的视为负偏离。）</w:t>
            </w:r>
          </w:p>
        </w:tc>
      </w:tr>
      <w:tr w14:paraId="38226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273" w:type="pct"/>
            <w:tcBorders>
              <w:top w:val="single" w:color="auto" w:sz="4" w:space="0"/>
              <w:left w:val="single" w:color="auto" w:sz="4" w:space="0"/>
              <w:bottom w:val="single" w:color="auto" w:sz="4" w:space="0"/>
              <w:right w:val="single" w:color="auto" w:sz="4" w:space="0"/>
            </w:tcBorders>
            <w:vAlign w:val="center"/>
          </w:tcPr>
          <w:p w14:paraId="2139F040">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3</w:t>
            </w:r>
          </w:p>
        </w:tc>
        <w:tc>
          <w:tcPr>
            <w:tcW w:w="618" w:type="pct"/>
            <w:tcBorders>
              <w:top w:val="single" w:color="auto" w:sz="4" w:space="0"/>
              <w:left w:val="single" w:color="auto" w:sz="4" w:space="0"/>
              <w:bottom w:val="single" w:color="auto" w:sz="4" w:space="0"/>
              <w:right w:val="single" w:color="auto" w:sz="4" w:space="0"/>
            </w:tcBorders>
            <w:vAlign w:val="center"/>
          </w:tcPr>
          <w:p w14:paraId="71B28B65">
            <w:pPr>
              <w:spacing w:line="360" w:lineRule="auto"/>
              <w:jc w:val="center"/>
              <w:rPr>
                <w:rFonts w:ascii="宋体" w:hAnsi="宋体" w:cs="宋体"/>
                <w:color w:val="000000"/>
                <w:kern w:val="0"/>
                <w:sz w:val="21"/>
                <w:szCs w:val="21"/>
              </w:rPr>
            </w:pPr>
            <w:r>
              <w:rPr>
                <w:rFonts w:hint="eastAsia" w:ascii="宋体" w:hAnsi="宋体" w:cs="宋体"/>
                <w:sz w:val="21"/>
                <w:szCs w:val="21"/>
              </w:rPr>
              <w:t>商务部分</w:t>
            </w:r>
          </w:p>
        </w:tc>
        <w:tc>
          <w:tcPr>
            <w:tcW w:w="456" w:type="pct"/>
            <w:tcBorders>
              <w:top w:val="single" w:color="auto" w:sz="4" w:space="0"/>
              <w:left w:val="single" w:color="auto" w:sz="4" w:space="0"/>
              <w:bottom w:val="single" w:color="auto" w:sz="4" w:space="0"/>
              <w:right w:val="single" w:color="auto" w:sz="4" w:space="0"/>
            </w:tcBorders>
            <w:vAlign w:val="center"/>
          </w:tcPr>
          <w:p w14:paraId="0FE16933">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lang w:val="en-US" w:eastAsia="zh-CN"/>
              </w:rPr>
              <w:t>50</w:t>
            </w:r>
            <w:r>
              <w:rPr>
                <w:rFonts w:hint="eastAsia" w:ascii="宋体" w:hAnsi="宋体" w:cs="宋体"/>
                <w:color w:val="000000"/>
                <w:kern w:val="0"/>
                <w:sz w:val="21"/>
                <w:szCs w:val="21"/>
              </w:rPr>
              <w:t>分</w:t>
            </w:r>
          </w:p>
        </w:tc>
        <w:tc>
          <w:tcPr>
            <w:tcW w:w="3651" w:type="pct"/>
            <w:tcBorders>
              <w:top w:val="single" w:color="auto" w:sz="4" w:space="0"/>
              <w:left w:val="single" w:color="auto" w:sz="4" w:space="0"/>
              <w:bottom w:val="single" w:color="auto" w:sz="4" w:space="0"/>
              <w:right w:val="single" w:color="auto" w:sz="4" w:space="0"/>
            </w:tcBorders>
            <w:vAlign w:val="center"/>
          </w:tcPr>
          <w:p w14:paraId="3BCE5FEB">
            <w:pPr>
              <w:spacing w:line="360" w:lineRule="auto"/>
              <w:rPr>
                <w:rFonts w:ascii="宋体" w:hAnsi="宋体" w:cs="宋体"/>
                <w:b/>
                <w:sz w:val="21"/>
                <w:szCs w:val="21"/>
              </w:rPr>
            </w:pPr>
            <w:r>
              <w:rPr>
                <w:rFonts w:hint="eastAsia" w:ascii="宋体" w:hAnsi="宋体"/>
                <w:b/>
                <w:kern w:val="0"/>
                <w:sz w:val="21"/>
                <w:szCs w:val="21"/>
                <w:lang w:eastAsia="zh-CN"/>
              </w:rPr>
              <w:t>1.</w:t>
            </w:r>
            <w:r>
              <w:rPr>
                <w:rFonts w:hint="eastAsia" w:ascii="宋体" w:hAnsi="宋体" w:cs="宋体"/>
                <w:b/>
                <w:sz w:val="21"/>
                <w:szCs w:val="21"/>
              </w:rPr>
              <w:t>落实绿色产品（节能产品、环境标志产品）优先采购政策（</w:t>
            </w:r>
            <w:r>
              <w:rPr>
                <w:rFonts w:hint="eastAsia" w:ascii="宋体" w:hAnsi="宋体" w:cs="宋体"/>
                <w:b/>
                <w:sz w:val="21"/>
                <w:szCs w:val="21"/>
                <w:lang w:val="en-US" w:eastAsia="zh-CN"/>
              </w:rPr>
              <w:t>满分</w:t>
            </w:r>
            <w:r>
              <w:rPr>
                <w:rFonts w:hint="eastAsia" w:ascii="宋体" w:hAnsi="宋体" w:cs="宋体"/>
                <w:b/>
                <w:sz w:val="21"/>
                <w:szCs w:val="21"/>
              </w:rPr>
              <w:t>2分）</w:t>
            </w:r>
          </w:p>
          <w:p w14:paraId="623B3922">
            <w:pPr>
              <w:spacing w:line="360" w:lineRule="auto"/>
              <w:rPr>
                <w:rFonts w:ascii="宋体" w:hAnsi="宋体"/>
                <w:kern w:val="0"/>
                <w:sz w:val="21"/>
                <w:szCs w:val="21"/>
              </w:rPr>
            </w:pPr>
            <w:r>
              <w:rPr>
                <w:rFonts w:hint="eastAsia" w:ascii="宋体" w:hAnsi="宋体" w:cs="宋体"/>
                <w:sz w:val="21"/>
                <w:szCs w:val="21"/>
              </w:rPr>
              <w:t>（1）</w:t>
            </w:r>
            <w:r>
              <w:rPr>
                <w:rFonts w:hint="eastAsia" w:ascii="宋体" w:hAnsi="宋体"/>
                <w:kern w:val="0"/>
                <w:sz w:val="21"/>
                <w:szCs w:val="21"/>
              </w:rPr>
              <w:t>所采购的核心产品在政府采购节能产品实施品目清单范围内，且具有国家确定的认证机构出具的、处于有效期之内的节能产品的证明材料的得1分，如没有不得分。</w:t>
            </w:r>
          </w:p>
          <w:p w14:paraId="4709E68C">
            <w:pPr>
              <w:spacing w:line="360" w:lineRule="auto"/>
              <w:rPr>
                <w:rFonts w:ascii="宋体" w:hAnsi="宋体"/>
                <w:sz w:val="21"/>
                <w:szCs w:val="21"/>
              </w:rPr>
            </w:pPr>
            <w:r>
              <w:rPr>
                <w:rFonts w:hint="eastAsia" w:ascii="宋体" w:hAnsi="宋体"/>
                <w:kern w:val="0"/>
                <w:sz w:val="21"/>
                <w:szCs w:val="21"/>
              </w:rPr>
              <w:t>（2）</w:t>
            </w:r>
            <w:r>
              <w:rPr>
                <w:rFonts w:hint="eastAsia" w:ascii="宋体" w:hAnsi="宋体"/>
                <w:sz w:val="21"/>
                <w:szCs w:val="21"/>
              </w:rPr>
              <w:t>所采购的核心产品在政府采购环境标志产品实施品目清单范围内，且具有国家确定的认证机构出具的、处于有效期之内的环境标志产品认证证书的证明材料的得1分，如没有不得分。</w:t>
            </w:r>
          </w:p>
          <w:p w14:paraId="373B99B7">
            <w:pPr>
              <w:spacing w:line="360" w:lineRule="auto"/>
              <w:rPr>
                <w:rFonts w:ascii="宋体" w:hAnsi="宋体"/>
                <w:sz w:val="21"/>
                <w:szCs w:val="21"/>
              </w:rPr>
            </w:pPr>
            <w:r>
              <w:rPr>
                <w:rFonts w:hint="eastAsia" w:ascii="宋体" w:hAnsi="宋体"/>
                <w:b/>
                <w:sz w:val="21"/>
                <w:szCs w:val="21"/>
                <w:lang w:eastAsia="zh-CN"/>
              </w:rPr>
              <w:t>2.</w:t>
            </w:r>
            <w:r>
              <w:rPr>
                <w:rFonts w:hint="eastAsia" w:ascii="宋体" w:hAnsi="宋体"/>
                <w:b/>
                <w:sz w:val="21"/>
                <w:szCs w:val="21"/>
              </w:rPr>
              <w:t>产品</w:t>
            </w:r>
            <w:r>
              <w:rPr>
                <w:rFonts w:ascii="宋体" w:hAnsi="宋体"/>
                <w:b/>
                <w:bCs/>
                <w:sz w:val="21"/>
                <w:szCs w:val="21"/>
              </w:rPr>
              <w:t>质量保证措施（</w:t>
            </w:r>
            <w:r>
              <w:rPr>
                <w:rFonts w:hint="eastAsia" w:ascii="宋体" w:hAnsi="宋体"/>
                <w:b/>
                <w:bCs/>
                <w:sz w:val="21"/>
                <w:szCs w:val="21"/>
                <w:lang w:val="en-US" w:eastAsia="zh-CN"/>
              </w:rPr>
              <w:t>满分10</w:t>
            </w:r>
            <w:r>
              <w:rPr>
                <w:rFonts w:ascii="宋体" w:hAnsi="宋体"/>
                <w:b/>
                <w:bCs/>
                <w:sz w:val="21"/>
                <w:szCs w:val="21"/>
              </w:rPr>
              <w:t>分）</w:t>
            </w:r>
          </w:p>
          <w:p w14:paraId="35EA445F">
            <w:pPr>
              <w:spacing w:line="360" w:lineRule="auto"/>
              <w:rPr>
                <w:rFonts w:hint="eastAsia" w:cs="Times New Roman"/>
                <w:sz w:val="21"/>
                <w:szCs w:val="21"/>
                <w:lang w:eastAsia="zh-CN"/>
              </w:rPr>
            </w:pPr>
            <w:r>
              <w:rPr>
                <w:rFonts w:cs="Times New Roman"/>
                <w:sz w:val="21"/>
                <w:szCs w:val="21"/>
              </w:rPr>
              <w:t>评标委员会根据</w:t>
            </w:r>
            <w:r>
              <w:rPr>
                <w:rFonts w:hint="eastAsia" w:ascii="宋体" w:hAnsi="宋体"/>
                <w:sz w:val="21"/>
                <w:szCs w:val="21"/>
                <w:lang w:val="en-US" w:eastAsia="zh-CN"/>
              </w:rPr>
              <w:t>供应商</w:t>
            </w:r>
            <w:r>
              <w:rPr>
                <w:rFonts w:hint="eastAsia" w:cs="Times New Roman"/>
                <w:sz w:val="21"/>
                <w:szCs w:val="21"/>
                <w:lang w:val="en-US" w:eastAsia="zh-CN"/>
              </w:rPr>
              <w:t>提供</w:t>
            </w:r>
            <w:r>
              <w:rPr>
                <w:rFonts w:cs="Times New Roman"/>
                <w:sz w:val="21"/>
                <w:szCs w:val="21"/>
              </w:rPr>
              <w:t>的</w:t>
            </w:r>
            <w:r>
              <w:rPr>
                <w:rFonts w:hint="eastAsia" w:cs="Times New Roman"/>
                <w:sz w:val="21"/>
                <w:szCs w:val="21"/>
              </w:rPr>
              <w:t>产品</w:t>
            </w:r>
            <w:r>
              <w:rPr>
                <w:rFonts w:cs="Times New Roman"/>
                <w:sz w:val="21"/>
                <w:szCs w:val="21"/>
              </w:rPr>
              <w:t>质量保证措施</w:t>
            </w:r>
            <w:r>
              <w:rPr>
                <w:rFonts w:hint="eastAsia" w:cs="Times New Roman"/>
                <w:sz w:val="21"/>
                <w:szCs w:val="21"/>
              </w:rPr>
              <w:t>进行打分</w:t>
            </w:r>
            <w:r>
              <w:rPr>
                <w:rFonts w:hint="eastAsia" w:cs="Times New Roman"/>
                <w:sz w:val="21"/>
                <w:szCs w:val="21"/>
                <w:lang w:eastAsia="zh-CN"/>
              </w:rPr>
              <w:t>：</w:t>
            </w:r>
          </w:p>
          <w:p w14:paraId="398721FB">
            <w:pPr>
              <w:spacing w:line="360" w:lineRule="auto"/>
              <w:rPr>
                <w:rFonts w:hint="eastAsia" w:ascii="宋体" w:hAnsi="宋体"/>
                <w:sz w:val="21"/>
                <w:szCs w:val="21"/>
                <w:lang w:eastAsia="zh-CN"/>
              </w:rPr>
            </w:pPr>
            <w:r>
              <w:rPr>
                <w:rFonts w:ascii="宋体" w:hAnsi="宋体"/>
                <w:sz w:val="21"/>
                <w:szCs w:val="21"/>
              </w:rPr>
              <w:t>保证措施全面完善、措施充分、符合本项目实际情况，得</w:t>
            </w:r>
            <w:r>
              <w:rPr>
                <w:rFonts w:hint="eastAsia" w:ascii="宋体" w:hAnsi="宋体"/>
                <w:sz w:val="21"/>
                <w:szCs w:val="21"/>
                <w:lang w:val="en-US" w:eastAsia="zh-CN"/>
              </w:rPr>
              <w:t>10</w:t>
            </w:r>
            <w:r>
              <w:rPr>
                <w:rFonts w:ascii="宋体" w:hAnsi="宋体"/>
                <w:sz w:val="21"/>
                <w:szCs w:val="21"/>
              </w:rPr>
              <w:t>分</w:t>
            </w:r>
            <w:r>
              <w:rPr>
                <w:rFonts w:hint="eastAsia" w:ascii="宋体" w:hAnsi="宋体"/>
                <w:sz w:val="21"/>
                <w:szCs w:val="21"/>
                <w:lang w:eastAsia="zh-CN"/>
              </w:rPr>
              <w:t>；</w:t>
            </w:r>
          </w:p>
          <w:p w14:paraId="2556B54F">
            <w:pPr>
              <w:spacing w:line="360" w:lineRule="auto"/>
              <w:rPr>
                <w:rFonts w:hint="eastAsia" w:ascii="宋体" w:hAnsi="宋体"/>
                <w:sz w:val="21"/>
                <w:szCs w:val="21"/>
                <w:lang w:eastAsia="zh-CN"/>
              </w:rPr>
            </w:pPr>
            <w:r>
              <w:rPr>
                <w:rFonts w:ascii="宋体" w:hAnsi="宋体"/>
                <w:sz w:val="21"/>
                <w:szCs w:val="21"/>
              </w:rPr>
              <w:t>措施较为完善，符合项目实际的，得</w:t>
            </w:r>
            <w:r>
              <w:rPr>
                <w:rFonts w:hint="eastAsia" w:ascii="宋体" w:hAnsi="宋体"/>
                <w:sz w:val="21"/>
                <w:szCs w:val="21"/>
                <w:lang w:val="en-US" w:eastAsia="zh-CN"/>
              </w:rPr>
              <w:t>8</w:t>
            </w:r>
            <w:r>
              <w:rPr>
                <w:rFonts w:ascii="宋体" w:hAnsi="宋体"/>
                <w:sz w:val="21"/>
                <w:szCs w:val="21"/>
              </w:rPr>
              <w:t>分</w:t>
            </w:r>
            <w:r>
              <w:rPr>
                <w:rFonts w:hint="eastAsia" w:ascii="宋体" w:hAnsi="宋体"/>
                <w:sz w:val="21"/>
                <w:szCs w:val="21"/>
                <w:lang w:eastAsia="zh-CN"/>
              </w:rPr>
              <w:t>；</w:t>
            </w:r>
          </w:p>
          <w:p w14:paraId="5714B5A3">
            <w:pPr>
              <w:spacing w:line="360" w:lineRule="auto"/>
              <w:rPr>
                <w:rFonts w:hint="eastAsia" w:ascii="宋体" w:hAnsi="宋体"/>
                <w:sz w:val="21"/>
                <w:szCs w:val="21"/>
                <w:lang w:val="en-US" w:eastAsia="zh-CN"/>
              </w:rPr>
            </w:pPr>
            <w:r>
              <w:rPr>
                <w:rFonts w:ascii="宋体" w:hAnsi="宋体"/>
                <w:sz w:val="21"/>
                <w:szCs w:val="21"/>
              </w:rPr>
              <w:t>措施描述</w:t>
            </w:r>
            <w:r>
              <w:rPr>
                <w:rFonts w:hint="eastAsia" w:ascii="宋体" w:hAnsi="宋体"/>
                <w:sz w:val="21"/>
                <w:szCs w:val="21"/>
              </w:rPr>
              <w:t>一般</w:t>
            </w:r>
            <w:r>
              <w:rPr>
                <w:rFonts w:ascii="宋体" w:hAnsi="宋体"/>
                <w:sz w:val="21"/>
                <w:szCs w:val="21"/>
              </w:rPr>
              <w:t>，</w:t>
            </w:r>
            <w:r>
              <w:rPr>
                <w:rFonts w:hint="eastAsia" w:ascii="宋体" w:hAnsi="宋体"/>
                <w:sz w:val="21"/>
                <w:szCs w:val="21"/>
                <w:lang w:val="en-US" w:eastAsia="zh-CN"/>
              </w:rPr>
              <w:t>不够完善的得5分；</w:t>
            </w:r>
          </w:p>
          <w:p w14:paraId="2C9B44EF">
            <w:pPr>
              <w:spacing w:line="360" w:lineRule="auto"/>
              <w:rPr>
                <w:rFonts w:ascii="宋体" w:hAnsi="宋体"/>
                <w:sz w:val="21"/>
                <w:szCs w:val="21"/>
              </w:rPr>
            </w:pPr>
            <w:r>
              <w:rPr>
                <w:rFonts w:hint="eastAsia" w:ascii="宋体" w:hAnsi="宋体"/>
                <w:sz w:val="21"/>
                <w:szCs w:val="21"/>
                <w:lang w:val="en-US" w:eastAsia="zh-CN"/>
              </w:rPr>
              <w:t>措施</w:t>
            </w:r>
            <w:r>
              <w:rPr>
                <w:rFonts w:hint="eastAsia" w:ascii="宋体" w:hAnsi="宋体"/>
                <w:sz w:val="21"/>
                <w:szCs w:val="21"/>
              </w:rPr>
              <w:t>较为</w:t>
            </w:r>
            <w:r>
              <w:rPr>
                <w:rFonts w:ascii="宋体" w:hAnsi="宋体"/>
                <w:sz w:val="21"/>
                <w:szCs w:val="21"/>
              </w:rPr>
              <w:t>简单脱离项目实际的，得</w:t>
            </w:r>
            <w:r>
              <w:rPr>
                <w:rFonts w:hint="eastAsia" w:ascii="宋体" w:hAnsi="宋体"/>
                <w:sz w:val="21"/>
                <w:szCs w:val="21"/>
              </w:rPr>
              <w:t>2</w:t>
            </w:r>
            <w:r>
              <w:rPr>
                <w:rFonts w:ascii="宋体" w:hAnsi="宋体"/>
                <w:sz w:val="21"/>
                <w:szCs w:val="21"/>
              </w:rPr>
              <w:t>分；</w:t>
            </w:r>
          </w:p>
          <w:p w14:paraId="76AE3A76">
            <w:pPr>
              <w:spacing w:line="360" w:lineRule="auto"/>
              <w:rPr>
                <w:rFonts w:ascii="宋体" w:hAnsi="宋体"/>
                <w:sz w:val="21"/>
                <w:szCs w:val="21"/>
              </w:rPr>
            </w:pPr>
            <w:r>
              <w:rPr>
                <w:rFonts w:ascii="宋体" w:hAnsi="宋体"/>
                <w:sz w:val="21"/>
                <w:szCs w:val="21"/>
              </w:rPr>
              <w:t>缺项</w:t>
            </w:r>
            <w:r>
              <w:rPr>
                <w:rFonts w:hint="eastAsia" w:ascii="宋体" w:hAnsi="宋体"/>
                <w:sz w:val="21"/>
                <w:szCs w:val="21"/>
                <w:lang w:val="en-US" w:eastAsia="zh-CN"/>
              </w:rPr>
              <w:t>得0分</w:t>
            </w:r>
            <w:r>
              <w:rPr>
                <w:rFonts w:ascii="宋体" w:hAnsi="宋体"/>
                <w:sz w:val="21"/>
                <w:szCs w:val="21"/>
              </w:rPr>
              <w:t>。</w:t>
            </w:r>
          </w:p>
          <w:p w14:paraId="16EEC795">
            <w:pPr>
              <w:spacing w:line="360" w:lineRule="auto"/>
              <w:rPr>
                <w:rFonts w:ascii="宋体" w:hAnsi="宋体" w:cs="宋体"/>
                <w:b/>
                <w:sz w:val="21"/>
                <w:szCs w:val="21"/>
              </w:rPr>
            </w:pPr>
            <w:r>
              <w:rPr>
                <w:rFonts w:hint="eastAsia" w:ascii="宋体" w:hAnsi="宋体" w:cs="宋体"/>
                <w:b/>
                <w:sz w:val="21"/>
                <w:szCs w:val="21"/>
              </w:rPr>
              <w:t>3</w:t>
            </w:r>
            <w:r>
              <w:rPr>
                <w:rFonts w:hint="eastAsia" w:ascii="宋体" w:hAnsi="宋体" w:cs="宋体"/>
                <w:b/>
                <w:sz w:val="21"/>
                <w:szCs w:val="21"/>
                <w:lang w:val="en-US" w:eastAsia="zh-CN"/>
              </w:rPr>
              <w:t>.</w:t>
            </w:r>
            <w:r>
              <w:rPr>
                <w:rFonts w:hint="eastAsia" w:ascii="宋体" w:hAnsi="宋体" w:cs="宋体"/>
                <w:b/>
                <w:sz w:val="21"/>
                <w:szCs w:val="21"/>
              </w:rPr>
              <w:t>产品供货</w:t>
            </w:r>
            <w:r>
              <w:rPr>
                <w:rFonts w:hint="eastAsia" w:ascii="宋体" w:hAnsi="宋体" w:cs="宋体"/>
                <w:b/>
                <w:sz w:val="21"/>
                <w:szCs w:val="21"/>
                <w:lang w:eastAsia="zh-CN"/>
              </w:rPr>
              <w:t>、</w:t>
            </w:r>
            <w:r>
              <w:rPr>
                <w:rFonts w:hint="eastAsia" w:ascii="宋体" w:hAnsi="宋体" w:cs="宋体"/>
                <w:b/>
                <w:sz w:val="21"/>
                <w:szCs w:val="21"/>
                <w:lang w:val="en-US" w:eastAsia="zh-CN"/>
              </w:rPr>
              <w:t>运输</w:t>
            </w:r>
            <w:r>
              <w:rPr>
                <w:rFonts w:hint="eastAsia" w:ascii="宋体" w:hAnsi="宋体" w:cs="宋体"/>
                <w:b/>
                <w:sz w:val="21"/>
                <w:szCs w:val="21"/>
              </w:rPr>
              <w:t>、安装方案（</w:t>
            </w:r>
            <w:r>
              <w:rPr>
                <w:rFonts w:hint="eastAsia" w:ascii="宋体" w:hAnsi="宋体" w:cs="宋体"/>
                <w:b/>
                <w:sz w:val="21"/>
                <w:szCs w:val="21"/>
                <w:lang w:val="en-US" w:eastAsia="zh-CN"/>
              </w:rPr>
              <w:t>满分10</w:t>
            </w:r>
            <w:r>
              <w:rPr>
                <w:rFonts w:hint="eastAsia" w:ascii="宋体" w:hAnsi="宋体" w:cs="宋体"/>
                <w:b/>
                <w:sz w:val="21"/>
                <w:szCs w:val="21"/>
              </w:rPr>
              <w:t>分）</w:t>
            </w:r>
          </w:p>
          <w:p w14:paraId="64301B31">
            <w:pPr>
              <w:spacing w:line="360" w:lineRule="auto"/>
              <w:rPr>
                <w:rFonts w:hint="eastAsia" w:ascii="宋体" w:hAnsi="宋体" w:cs="宋体"/>
                <w:sz w:val="21"/>
                <w:szCs w:val="21"/>
                <w:lang w:eastAsia="zh-CN"/>
              </w:rPr>
            </w:pPr>
            <w:r>
              <w:rPr>
                <w:rFonts w:ascii="宋体" w:hAnsi="宋体"/>
                <w:sz w:val="21"/>
                <w:szCs w:val="21"/>
              </w:rPr>
              <w:t>评标委员会根据</w:t>
            </w:r>
            <w:r>
              <w:rPr>
                <w:rFonts w:hint="eastAsia" w:ascii="宋体" w:hAnsi="宋体"/>
                <w:sz w:val="21"/>
                <w:szCs w:val="21"/>
                <w:lang w:val="en-US" w:eastAsia="zh-CN"/>
              </w:rPr>
              <w:t>供应商</w:t>
            </w:r>
            <w:r>
              <w:rPr>
                <w:rFonts w:ascii="宋体" w:hAnsi="宋体"/>
                <w:sz w:val="21"/>
                <w:szCs w:val="21"/>
              </w:rPr>
              <w:t>提供的产品供货</w:t>
            </w:r>
            <w:r>
              <w:rPr>
                <w:rFonts w:hint="eastAsia" w:ascii="宋体" w:hAnsi="宋体"/>
                <w:sz w:val="21"/>
                <w:szCs w:val="21"/>
              </w:rPr>
              <w:t>、</w:t>
            </w:r>
            <w:r>
              <w:rPr>
                <w:rFonts w:ascii="宋体" w:hAnsi="宋体"/>
                <w:sz w:val="21"/>
                <w:szCs w:val="21"/>
              </w:rPr>
              <w:t>安装方案</w:t>
            </w:r>
            <w:r>
              <w:rPr>
                <w:rFonts w:hint="eastAsia" w:ascii="宋体" w:hAnsi="宋体" w:cs="宋体"/>
                <w:sz w:val="21"/>
                <w:szCs w:val="21"/>
              </w:rPr>
              <w:t>的合理性、完整性、是否</w:t>
            </w:r>
            <w:r>
              <w:rPr>
                <w:rFonts w:hint="eastAsia" w:ascii="宋体" w:hAnsi="宋体" w:cs="宋体"/>
                <w:sz w:val="21"/>
                <w:szCs w:val="21"/>
                <w:lang w:val="en-US" w:eastAsia="zh-CN"/>
              </w:rPr>
              <w:t>考虑</w:t>
            </w:r>
            <w:r>
              <w:rPr>
                <w:rFonts w:hint="eastAsia" w:ascii="宋体" w:hAnsi="宋体" w:cs="宋体"/>
                <w:sz w:val="21"/>
                <w:szCs w:val="21"/>
              </w:rPr>
              <w:t>用户实际需求等方面进行打分</w:t>
            </w:r>
            <w:r>
              <w:rPr>
                <w:rFonts w:hint="eastAsia" w:ascii="宋体" w:hAnsi="宋体" w:cs="宋体"/>
                <w:sz w:val="21"/>
                <w:szCs w:val="21"/>
                <w:lang w:eastAsia="zh-CN"/>
              </w:rPr>
              <w:t>：</w:t>
            </w:r>
          </w:p>
          <w:p w14:paraId="1705CCD5">
            <w:pPr>
              <w:spacing w:line="360" w:lineRule="auto"/>
              <w:rPr>
                <w:rFonts w:hint="eastAsia" w:ascii="宋体" w:hAnsi="宋体" w:cs="宋体"/>
                <w:sz w:val="21"/>
                <w:szCs w:val="21"/>
              </w:rPr>
            </w:pPr>
            <w:r>
              <w:rPr>
                <w:rFonts w:hint="eastAsia" w:ascii="宋体" w:hAnsi="宋体" w:cs="宋体"/>
                <w:sz w:val="21"/>
                <w:szCs w:val="21"/>
              </w:rPr>
              <w:t>内容完整详细、合理、可行得</w:t>
            </w:r>
            <w:r>
              <w:rPr>
                <w:rFonts w:hint="eastAsia" w:ascii="宋体" w:hAnsi="宋体" w:cs="宋体"/>
                <w:sz w:val="21"/>
                <w:szCs w:val="21"/>
                <w:lang w:val="en-US" w:eastAsia="zh-CN"/>
              </w:rPr>
              <w:t>10</w:t>
            </w:r>
            <w:r>
              <w:rPr>
                <w:rFonts w:hint="eastAsia" w:ascii="宋体" w:hAnsi="宋体" w:cs="宋体"/>
                <w:sz w:val="21"/>
                <w:szCs w:val="21"/>
              </w:rPr>
              <w:t>分；</w:t>
            </w:r>
          </w:p>
          <w:p w14:paraId="04690DC5">
            <w:pPr>
              <w:spacing w:line="360" w:lineRule="auto"/>
              <w:rPr>
                <w:rFonts w:hint="eastAsia" w:ascii="宋体" w:hAnsi="宋体" w:cs="宋体"/>
                <w:sz w:val="21"/>
                <w:szCs w:val="21"/>
              </w:rPr>
            </w:pPr>
            <w:r>
              <w:rPr>
                <w:rFonts w:hint="eastAsia" w:ascii="宋体" w:hAnsi="宋体" w:cs="宋体"/>
                <w:sz w:val="21"/>
                <w:szCs w:val="21"/>
              </w:rPr>
              <w:t>内容较完整、</w:t>
            </w:r>
            <w:r>
              <w:rPr>
                <w:rFonts w:hint="eastAsia" w:ascii="宋体" w:hAnsi="宋体" w:cs="宋体"/>
                <w:sz w:val="21"/>
                <w:szCs w:val="21"/>
                <w:lang w:val="en-US" w:eastAsia="zh-CN"/>
              </w:rPr>
              <w:t>比较</w:t>
            </w:r>
            <w:r>
              <w:rPr>
                <w:rFonts w:hint="eastAsia" w:ascii="宋体" w:hAnsi="宋体" w:cs="宋体"/>
                <w:sz w:val="21"/>
                <w:szCs w:val="21"/>
              </w:rPr>
              <w:t>合理、可行得</w:t>
            </w:r>
            <w:r>
              <w:rPr>
                <w:rFonts w:hint="eastAsia" w:ascii="宋体" w:hAnsi="宋体" w:cs="宋体"/>
                <w:sz w:val="21"/>
                <w:szCs w:val="21"/>
                <w:lang w:val="en-US" w:eastAsia="zh-CN"/>
              </w:rPr>
              <w:t>8</w:t>
            </w:r>
            <w:r>
              <w:rPr>
                <w:rFonts w:hint="eastAsia" w:ascii="宋体" w:hAnsi="宋体" w:cs="宋体"/>
                <w:sz w:val="21"/>
                <w:szCs w:val="21"/>
              </w:rPr>
              <w:t>分；</w:t>
            </w:r>
          </w:p>
          <w:p w14:paraId="58379271">
            <w:pPr>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内容有一定欠缺，合理性可行性一般得5分；</w:t>
            </w:r>
          </w:p>
          <w:p w14:paraId="03B43D9F">
            <w:pPr>
              <w:spacing w:line="360" w:lineRule="auto"/>
              <w:rPr>
                <w:rFonts w:hint="eastAsia" w:ascii="宋体" w:hAnsi="宋体" w:cs="宋体"/>
                <w:sz w:val="21"/>
                <w:szCs w:val="21"/>
              </w:rPr>
            </w:pPr>
            <w:r>
              <w:rPr>
                <w:rFonts w:hint="eastAsia" w:ascii="宋体" w:hAnsi="宋体" w:cs="宋体"/>
                <w:sz w:val="21"/>
                <w:szCs w:val="21"/>
              </w:rPr>
              <w:t>内容欠缺、合理</w:t>
            </w:r>
            <w:r>
              <w:rPr>
                <w:rFonts w:hint="eastAsia" w:ascii="宋体" w:hAnsi="宋体" w:cs="宋体"/>
                <w:sz w:val="21"/>
                <w:szCs w:val="21"/>
                <w:lang w:val="en-US" w:eastAsia="zh-CN"/>
              </w:rPr>
              <w:t>性</w:t>
            </w:r>
            <w:r>
              <w:rPr>
                <w:rFonts w:hint="eastAsia" w:ascii="宋体" w:hAnsi="宋体" w:cs="宋体"/>
                <w:sz w:val="21"/>
                <w:szCs w:val="21"/>
              </w:rPr>
              <w:t>可行</w:t>
            </w:r>
            <w:r>
              <w:rPr>
                <w:rFonts w:hint="eastAsia" w:ascii="宋体" w:hAnsi="宋体" w:cs="宋体"/>
                <w:sz w:val="21"/>
                <w:szCs w:val="21"/>
                <w:lang w:val="en-US" w:eastAsia="zh-CN"/>
              </w:rPr>
              <w:t>性较差</w:t>
            </w:r>
            <w:r>
              <w:rPr>
                <w:rFonts w:hint="eastAsia" w:ascii="宋体" w:hAnsi="宋体" w:cs="宋体"/>
                <w:sz w:val="21"/>
                <w:szCs w:val="21"/>
              </w:rPr>
              <w:t>得2分；</w:t>
            </w:r>
          </w:p>
          <w:p w14:paraId="2792C10E">
            <w:pPr>
              <w:spacing w:line="360" w:lineRule="auto"/>
              <w:rPr>
                <w:rFonts w:ascii="宋体" w:hAnsi="宋体" w:cs="宋体"/>
                <w:sz w:val="21"/>
                <w:szCs w:val="21"/>
              </w:rPr>
            </w:pPr>
            <w:r>
              <w:rPr>
                <w:rFonts w:hint="eastAsia" w:ascii="宋体" w:hAnsi="宋体" w:cs="宋体"/>
                <w:sz w:val="21"/>
                <w:szCs w:val="21"/>
                <w:lang w:val="en-US" w:eastAsia="zh-CN"/>
              </w:rPr>
              <w:t>缺项</w:t>
            </w:r>
            <w:r>
              <w:rPr>
                <w:rFonts w:hint="eastAsia" w:ascii="宋体" w:hAnsi="宋体"/>
                <w:sz w:val="21"/>
                <w:szCs w:val="21"/>
                <w:lang w:val="en-US" w:eastAsia="zh-CN"/>
              </w:rPr>
              <w:t>得0分</w:t>
            </w:r>
            <w:r>
              <w:rPr>
                <w:rFonts w:hint="eastAsia" w:ascii="宋体" w:hAnsi="宋体" w:cs="宋体"/>
                <w:sz w:val="21"/>
                <w:szCs w:val="21"/>
              </w:rPr>
              <w:t>。</w:t>
            </w:r>
          </w:p>
          <w:p w14:paraId="6030E590">
            <w:pPr>
              <w:widowControl/>
              <w:numPr>
                <w:ilvl w:val="0"/>
                <w:numId w:val="0"/>
              </w:numPr>
              <w:spacing w:line="360" w:lineRule="auto"/>
              <w:rPr>
                <w:rFonts w:ascii="宋体" w:hAnsi="宋体"/>
                <w:b/>
                <w:bCs/>
                <w:sz w:val="21"/>
                <w:szCs w:val="21"/>
              </w:rPr>
            </w:pPr>
            <w:r>
              <w:rPr>
                <w:rFonts w:ascii="宋体" w:hAnsi="宋体" w:eastAsia="宋体" w:cs="Times New Roman"/>
                <w:b/>
                <w:bCs/>
                <w:kern w:val="2"/>
                <w:sz w:val="21"/>
                <w:szCs w:val="21"/>
                <w:lang w:val="en-US" w:eastAsia="zh-CN" w:bidi="ar-SA"/>
              </w:rPr>
              <w:t>4</w:t>
            </w:r>
            <w:r>
              <w:rPr>
                <w:rFonts w:hint="eastAsia" w:ascii="宋体" w:hAnsi="宋体" w:cs="Times New Roman"/>
                <w:b/>
                <w:bCs/>
                <w:kern w:val="2"/>
                <w:sz w:val="21"/>
                <w:szCs w:val="21"/>
                <w:lang w:val="en-US" w:eastAsia="zh-CN" w:bidi="ar-SA"/>
              </w:rPr>
              <w:t>.</w:t>
            </w:r>
            <w:r>
              <w:rPr>
                <w:rFonts w:ascii="宋体" w:hAnsi="宋体"/>
                <w:b/>
                <w:bCs/>
                <w:sz w:val="21"/>
                <w:szCs w:val="21"/>
              </w:rPr>
              <w:t>培训</w:t>
            </w:r>
            <w:r>
              <w:rPr>
                <w:rFonts w:hint="eastAsia" w:ascii="宋体" w:hAnsi="宋体"/>
                <w:b/>
                <w:bCs/>
                <w:sz w:val="21"/>
                <w:szCs w:val="21"/>
                <w:lang w:val="en-US" w:eastAsia="zh-CN"/>
              </w:rPr>
              <w:t>方案</w:t>
            </w:r>
            <w:r>
              <w:rPr>
                <w:rFonts w:ascii="宋体" w:hAnsi="宋体"/>
                <w:b/>
                <w:bCs/>
                <w:sz w:val="21"/>
                <w:szCs w:val="21"/>
              </w:rPr>
              <w:t>（满分</w:t>
            </w:r>
            <w:r>
              <w:rPr>
                <w:rFonts w:hint="eastAsia" w:ascii="宋体" w:hAnsi="宋体"/>
                <w:b/>
                <w:bCs/>
                <w:sz w:val="21"/>
                <w:szCs w:val="21"/>
                <w:lang w:val="en-US" w:eastAsia="zh-CN"/>
              </w:rPr>
              <w:t>10</w:t>
            </w:r>
            <w:r>
              <w:rPr>
                <w:rFonts w:ascii="宋体" w:hAnsi="宋体"/>
                <w:b/>
                <w:bCs/>
                <w:sz w:val="21"/>
                <w:szCs w:val="21"/>
              </w:rPr>
              <w:t>分）</w:t>
            </w:r>
          </w:p>
          <w:p w14:paraId="6C771F63">
            <w:pPr>
              <w:widowControl/>
              <w:numPr>
                <w:ilvl w:val="0"/>
                <w:numId w:val="0"/>
              </w:numPr>
              <w:spacing w:line="360" w:lineRule="auto"/>
              <w:rPr>
                <w:rFonts w:hint="eastAsia" w:ascii="宋体" w:hAnsi="宋体"/>
                <w:sz w:val="21"/>
                <w:szCs w:val="21"/>
                <w:lang w:eastAsia="zh-CN"/>
              </w:rPr>
            </w:pPr>
            <w:r>
              <w:rPr>
                <w:rFonts w:cs="Times New Roman"/>
                <w:sz w:val="21"/>
                <w:szCs w:val="21"/>
              </w:rPr>
              <w:t>评标委员会根据</w:t>
            </w:r>
            <w:r>
              <w:rPr>
                <w:rFonts w:hint="eastAsia" w:ascii="宋体" w:hAnsi="宋体"/>
                <w:sz w:val="21"/>
                <w:szCs w:val="21"/>
                <w:lang w:val="en-US" w:eastAsia="zh-CN"/>
              </w:rPr>
              <w:t>供应商</w:t>
            </w:r>
            <w:r>
              <w:rPr>
                <w:rFonts w:cs="Times New Roman"/>
                <w:sz w:val="21"/>
                <w:szCs w:val="21"/>
              </w:rPr>
              <w:t>为本项目制定的用户培训</w:t>
            </w:r>
            <w:r>
              <w:rPr>
                <w:rFonts w:hint="eastAsia" w:cs="Times New Roman"/>
                <w:sz w:val="21"/>
                <w:szCs w:val="21"/>
                <w:lang w:val="en-US" w:eastAsia="zh-CN"/>
              </w:rPr>
              <w:t>方案</w:t>
            </w:r>
            <w:r>
              <w:rPr>
                <w:rFonts w:hint="eastAsia" w:cs="Times New Roman"/>
                <w:sz w:val="21"/>
                <w:szCs w:val="21"/>
                <w:lang w:eastAsia="zh-CN"/>
              </w:rPr>
              <w:t>（</w:t>
            </w:r>
            <w:r>
              <w:rPr>
                <w:rFonts w:hint="eastAsia" w:cs="Times New Roman"/>
                <w:sz w:val="21"/>
                <w:szCs w:val="21"/>
                <w:lang w:val="en-US" w:eastAsia="zh-CN"/>
              </w:rPr>
              <w:t>包含但不限于培训内容、培训时长、培训次数、培训团队等</w:t>
            </w:r>
            <w:r>
              <w:rPr>
                <w:rFonts w:hint="eastAsia" w:cs="Times New Roman"/>
                <w:sz w:val="21"/>
                <w:szCs w:val="21"/>
                <w:lang w:eastAsia="zh-CN"/>
              </w:rPr>
              <w:t>）</w:t>
            </w:r>
            <w:r>
              <w:rPr>
                <w:rFonts w:hint="eastAsia" w:cs="Times New Roman"/>
                <w:sz w:val="21"/>
                <w:szCs w:val="21"/>
                <w:lang w:val="en-US" w:eastAsia="zh-CN"/>
              </w:rPr>
              <w:t>进行打分</w:t>
            </w:r>
            <w:r>
              <w:rPr>
                <w:rFonts w:hint="eastAsia" w:ascii="宋体" w:hAnsi="宋体"/>
                <w:sz w:val="21"/>
                <w:szCs w:val="21"/>
                <w:lang w:eastAsia="zh-CN"/>
              </w:rPr>
              <w:t>：</w:t>
            </w:r>
          </w:p>
          <w:p w14:paraId="563FD704">
            <w:pPr>
              <w:widowControl/>
              <w:numPr>
                <w:ilvl w:val="0"/>
                <w:numId w:val="0"/>
              </w:numPr>
              <w:spacing w:line="360" w:lineRule="auto"/>
              <w:rPr>
                <w:rFonts w:hint="eastAsia" w:ascii="宋体" w:hAnsi="宋体"/>
                <w:sz w:val="21"/>
                <w:szCs w:val="21"/>
                <w:lang w:eastAsia="zh-CN"/>
              </w:rPr>
            </w:pPr>
            <w:r>
              <w:rPr>
                <w:rFonts w:ascii="宋体" w:hAnsi="宋体"/>
                <w:sz w:val="21"/>
                <w:szCs w:val="21"/>
              </w:rPr>
              <w:t>培训</w:t>
            </w:r>
            <w:r>
              <w:rPr>
                <w:rFonts w:hint="eastAsia" w:ascii="宋体" w:hAnsi="宋体"/>
                <w:sz w:val="21"/>
                <w:szCs w:val="21"/>
                <w:lang w:val="en-US" w:eastAsia="zh-CN"/>
              </w:rPr>
              <w:t>方案</w:t>
            </w:r>
            <w:r>
              <w:rPr>
                <w:rFonts w:ascii="宋体" w:hAnsi="宋体"/>
                <w:sz w:val="21"/>
                <w:szCs w:val="21"/>
              </w:rPr>
              <w:t>考虑全面科学、完善合理、切实可行、符合项目实际情况，得</w:t>
            </w:r>
            <w:r>
              <w:rPr>
                <w:rFonts w:hint="eastAsia" w:ascii="宋体" w:hAnsi="宋体"/>
                <w:sz w:val="21"/>
                <w:szCs w:val="21"/>
                <w:lang w:val="en-US" w:eastAsia="zh-CN"/>
              </w:rPr>
              <w:t>10</w:t>
            </w:r>
            <w:r>
              <w:rPr>
                <w:rFonts w:ascii="宋体" w:hAnsi="宋体"/>
                <w:sz w:val="21"/>
                <w:szCs w:val="21"/>
              </w:rPr>
              <w:t>分</w:t>
            </w:r>
            <w:r>
              <w:rPr>
                <w:rFonts w:hint="eastAsia" w:ascii="宋体" w:hAnsi="宋体"/>
                <w:sz w:val="21"/>
                <w:szCs w:val="21"/>
                <w:lang w:eastAsia="zh-CN"/>
              </w:rPr>
              <w:t>；</w:t>
            </w:r>
          </w:p>
          <w:p w14:paraId="1F0D7862">
            <w:pPr>
              <w:widowControl/>
              <w:numPr>
                <w:ilvl w:val="0"/>
                <w:numId w:val="0"/>
              </w:numPr>
              <w:spacing w:line="360" w:lineRule="auto"/>
              <w:rPr>
                <w:rFonts w:hint="eastAsia" w:ascii="宋体" w:hAnsi="宋体"/>
                <w:sz w:val="21"/>
                <w:szCs w:val="21"/>
                <w:lang w:val="en-US" w:eastAsia="zh-CN"/>
              </w:rPr>
            </w:pPr>
            <w:r>
              <w:rPr>
                <w:rFonts w:hint="eastAsia" w:ascii="宋体" w:hAnsi="宋体"/>
                <w:sz w:val="21"/>
                <w:szCs w:val="21"/>
                <w:lang w:val="en-US" w:eastAsia="zh-CN"/>
              </w:rPr>
              <w:t>方案比较详细、合理、可行得8分；</w:t>
            </w:r>
          </w:p>
          <w:p w14:paraId="59E119B6">
            <w:pPr>
              <w:widowControl/>
              <w:numPr>
                <w:ilvl w:val="0"/>
                <w:numId w:val="0"/>
              </w:numPr>
              <w:spacing w:line="360" w:lineRule="auto"/>
              <w:rPr>
                <w:rFonts w:hint="eastAsia" w:ascii="宋体" w:hAnsi="宋体" w:eastAsia="宋体"/>
                <w:sz w:val="21"/>
                <w:szCs w:val="21"/>
                <w:lang w:eastAsia="zh-CN"/>
              </w:rPr>
            </w:pPr>
            <w:r>
              <w:rPr>
                <w:rFonts w:hint="eastAsia" w:ascii="宋体" w:hAnsi="宋体"/>
                <w:sz w:val="21"/>
                <w:szCs w:val="21"/>
                <w:lang w:val="en-US" w:eastAsia="zh-CN"/>
              </w:rPr>
              <w:t>方案</w:t>
            </w:r>
            <w:r>
              <w:rPr>
                <w:rFonts w:ascii="宋体" w:hAnsi="宋体"/>
                <w:sz w:val="21"/>
                <w:szCs w:val="21"/>
              </w:rPr>
              <w:t>不够详细，</w:t>
            </w:r>
            <w:r>
              <w:rPr>
                <w:rFonts w:hint="eastAsia" w:ascii="宋体" w:hAnsi="宋体" w:cs="宋体"/>
                <w:sz w:val="21"/>
                <w:szCs w:val="21"/>
                <w:lang w:val="en-US" w:eastAsia="zh-CN"/>
              </w:rPr>
              <w:t>合理性可行性一般得</w:t>
            </w:r>
            <w:r>
              <w:rPr>
                <w:rFonts w:hint="eastAsia" w:ascii="宋体" w:hAnsi="宋体"/>
                <w:sz w:val="21"/>
                <w:szCs w:val="21"/>
                <w:lang w:val="en-US" w:eastAsia="zh-CN"/>
              </w:rPr>
              <w:t>5</w:t>
            </w:r>
            <w:r>
              <w:rPr>
                <w:rFonts w:ascii="宋体" w:hAnsi="宋体"/>
                <w:sz w:val="21"/>
                <w:szCs w:val="21"/>
              </w:rPr>
              <w:t>分</w:t>
            </w:r>
            <w:r>
              <w:rPr>
                <w:rFonts w:hint="eastAsia" w:ascii="宋体" w:hAnsi="宋体"/>
                <w:sz w:val="21"/>
                <w:szCs w:val="21"/>
                <w:lang w:eastAsia="zh-CN"/>
              </w:rPr>
              <w:t>；</w:t>
            </w:r>
          </w:p>
          <w:p w14:paraId="6246F7F8">
            <w:pPr>
              <w:widowControl/>
              <w:numPr>
                <w:ilvl w:val="0"/>
                <w:numId w:val="0"/>
              </w:numPr>
              <w:spacing w:line="360" w:lineRule="auto"/>
              <w:rPr>
                <w:rFonts w:ascii="宋体" w:hAnsi="宋体"/>
                <w:sz w:val="21"/>
                <w:szCs w:val="21"/>
              </w:rPr>
            </w:pPr>
            <w:r>
              <w:rPr>
                <w:rFonts w:hint="eastAsia" w:ascii="宋体" w:hAnsi="宋体"/>
                <w:sz w:val="21"/>
                <w:szCs w:val="21"/>
                <w:lang w:val="en-US" w:eastAsia="zh-CN"/>
              </w:rPr>
              <w:t>方案简单</w:t>
            </w:r>
            <w:r>
              <w:rPr>
                <w:rFonts w:ascii="宋体" w:hAnsi="宋体"/>
                <w:sz w:val="21"/>
                <w:szCs w:val="21"/>
              </w:rPr>
              <w:t>，</w:t>
            </w:r>
            <w:r>
              <w:rPr>
                <w:rFonts w:hint="eastAsia" w:ascii="宋体" w:hAnsi="宋体" w:cs="宋体"/>
                <w:sz w:val="21"/>
                <w:szCs w:val="21"/>
                <w:lang w:val="en-US" w:eastAsia="zh-CN"/>
              </w:rPr>
              <w:t>合理性可行性较差</w:t>
            </w:r>
            <w:r>
              <w:rPr>
                <w:rFonts w:ascii="宋体" w:hAnsi="宋体"/>
                <w:sz w:val="21"/>
                <w:szCs w:val="21"/>
              </w:rPr>
              <w:t>得</w:t>
            </w:r>
            <w:r>
              <w:rPr>
                <w:rFonts w:hint="eastAsia" w:ascii="宋体" w:hAnsi="宋体"/>
                <w:sz w:val="21"/>
                <w:szCs w:val="21"/>
                <w:lang w:val="en-US" w:eastAsia="zh-CN"/>
              </w:rPr>
              <w:t>2</w:t>
            </w:r>
            <w:r>
              <w:rPr>
                <w:rFonts w:ascii="宋体" w:hAnsi="宋体"/>
                <w:sz w:val="21"/>
                <w:szCs w:val="21"/>
              </w:rPr>
              <w:t>分；</w:t>
            </w:r>
          </w:p>
          <w:p w14:paraId="1BAA7D81">
            <w:pPr>
              <w:widowControl/>
              <w:numPr>
                <w:ilvl w:val="0"/>
                <w:numId w:val="0"/>
              </w:numPr>
              <w:spacing w:line="360" w:lineRule="auto"/>
              <w:rPr>
                <w:rFonts w:ascii="宋体" w:hAnsi="宋体"/>
                <w:sz w:val="21"/>
                <w:szCs w:val="21"/>
              </w:rPr>
            </w:pPr>
            <w:r>
              <w:rPr>
                <w:rFonts w:ascii="宋体" w:hAnsi="宋体"/>
                <w:sz w:val="21"/>
                <w:szCs w:val="21"/>
              </w:rPr>
              <w:t>缺项</w:t>
            </w:r>
            <w:r>
              <w:rPr>
                <w:rFonts w:hint="eastAsia" w:ascii="宋体" w:hAnsi="宋体"/>
                <w:sz w:val="21"/>
                <w:szCs w:val="21"/>
                <w:lang w:val="en-US" w:eastAsia="zh-CN"/>
              </w:rPr>
              <w:t>得0分</w:t>
            </w:r>
            <w:r>
              <w:rPr>
                <w:rFonts w:ascii="宋体" w:hAnsi="宋体"/>
                <w:sz w:val="21"/>
                <w:szCs w:val="21"/>
              </w:rPr>
              <w:t>。</w:t>
            </w:r>
          </w:p>
          <w:p w14:paraId="5AF58B07">
            <w:pPr>
              <w:widowControl/>
              <w:numPr>
                <w:ilvl w:val="0"/>
                <w:numId w:val="0"/>
              </w:numPr>
              <w:spacing w:line="360" w:lineRule="auto"/>
              <w:ind w:left="0" w:leftChars="0" w:firstLine="0" w:firstLineChars="0"/>
              <w:rPr>
                <w:rFonts w:ascii="宋体" w:hAnsi="宋体"/>
                <w:b/>
                <w:bCs/>
                <w:sz w:val="21"/>
                <w:szCs w:val="21"/>
              </w:rPr>
            </w:pPr>
            <w:r>
              <w:rPr>
                <w:rFonts w:ascii="宋体" w:hAnsi="宋体" w:eastAsia="宋体" w:cs="Times New Roman"/>
                <w:b/>
                <w:bCs/>
                <w:kern w:val="2"/>
                <w:sz w:val="21"/>
                <w:szCs w:val="21"/>
                <w:lang w:val="en-US" w:eastAsia="zh-CN" w:bidi="ar-SA"/>
              </w:rPr>
              <w:t>5</w:t>
            </w:r>
            <w:r>
              <w:rPr>
                <w:rFonts w:hint="eastAsia" w:ascii="宋体" w:hAnsi="宋体" w:cs="Times New Roman"/>
                <w:b/>
                <w:bCs/>
                <w:kern w:val="2"/>
                <w:sz w:val="21"/>
                <w:szCs w:val="21"/>
                <w:lang w:val="en-US" w:eastAsia="zh-CN" w:bidi="ar-SA"/>
              </w:rPr>
              <w:t>.</w:t>
            </w:r>
            <w:r>
              <w:rPr>
                <w:rFonts w:ascii="宋体" w:hAnsi="宋体"/>
                <w:b/>
                <w:bCs/>
                <w:sz w:val="21"/>
                <w:szCs w:val="21"/>
              </w:rPr>
              <w:t>售后服务方案（满分</w:t>
            </w:r>
            <w:r>
              <w:rPr>
                <w:rFonts w:hint="eastAsia" w:ascii="宋体" w:hAnsi="宋体"/>
                <w:b/>
                <w:bCs/>
                <w:sz w:val="21"/>
                <w:szCs w:val="21"/>
                <w:lang w:val="en-US" w:eastAsia="zh-CN"/>
              </w:rPr>
              <w:t>10</w:t>
            </w:r>
            <w:r>
              <w:rPr>
                <w:rFonts w:ascii="宋体" w:hAnsi="宋体"/>
                <w:b/>
                <w:bCs/>
                <w:sz w:val="21"/>
                <w:szCs w:val="21"/>
              </w:rPr>
              <w:t>分）</w:t>
            </w:r>
          </w:p>
          <w:p w14:paraId="0E17A1E1">
            <w:pPr>
              <w:widowControl/>
              <w:spacing w:line="360" w:lineRule="auto"/>
              <w:rPr>
                <w:rFonts w:hint="eastAsia" w:eastAsia="宋体" w:cs="Times New Roman"/>
                <w:sz w:val="21"/>
                <w:szCs w:val="21"/>
                <w:lang w:eastAsia="zh-CN"/>
              </w:rPr>
            </w:pPr>
            <w:r>
              <w:rPr>
                <w:rFonts w:cs="Times New Roman"/>
                <w:sz w:val="21"/>
                <w:szCs w:val="21"/>
              </w:rPr>
              <w:t>评委根据</w:t>
            </w:r>
            <w:r>
              <w:rPr>
                <w:rFonts w:hint="eastAsia" w:ascii="宋体" w:hAnsi="宋体"/>
                <w:sz w:val="21"/>
                <w:szCs w:val="21"/>
                <w:lang w:val="en-US" w:eastAsia="zh-CN"/>
              </w:rPr>
              <w:t>供应商</w:t>
            </w:r>
            <w:r>
              <w:rPr>
                <w:rFonts w:hint="eastAsia" w:cs="Times New Roman"/>
                <w:sz w:val="21"/>
                <w:szCs w:val="21"/>
                <w:lang w:val="en-US" w:eastAsia="zh-CN"/>
              </w:rPr>
              <w:t>提供的</w:t>
            </w:r>
            <w:r>
              <w:rPr>
                <w:rFonts w:cs="Times New Roman"/>
                <w:sz w:val="21"/>
                <w:szCs w:val="21"/>
              </w:rPr>
              <w:t>售后服务方案，包括</w:t>
            </w:r>
            <w:r>
              <w:rPr>
                <w:rFonts w:hint="eastAsia" w:cs="Times New Roman"/>
                <w:sz w:val="21"/>
                <w:szCs w:val="21"/>
                <w:lang w:val="en-US" w:eastAsia="zh-CN"/>
              </w:rPr>
              <w:t>但不限于</w:t>
            </w:r>
            <w:r>
              <w:rPr>
                <w:rFonts w:cs="Times New Roman"/>
                <w:sz w:val="21"/>
                <w:szCs w:val="21"/>
              </w:rPr>
              <w:t>售后服务机构设置情况、服务内容、服务体系、响应方式、响应时间、</w:t>
            </w:r>
            <w:r>
              <w:rPr>
                <w:rFonts w:ascii="宋体" w:hAnsi="宋体"/>
                <w:sz w:val="21"/>
                <w:szCs w:val="21"/>
              </w:rPr>
              <w:t>质保期</w:t>
            </w:r>
            <w:r>
              <w:rPr>
                <w:rFonts w:hint="eastAsia" w:ascii="宋体" w:hAnsi="宋体"/>
                <w:sz w:val="21"/>
                <w:szCs w:val="21"/>
                <w:lang w:val="en-US" w:eastAsia="zh-CN"/>
              </w:rPr>
              <w:t>及质保期内外服务承诺</w:t>
            </w:r>
            <w:r>
              <w:rPr>
                <w:rFonts w:cs="Times New Roman"/>
                <w:sz w:val="21"/>
                <w:szCs w:val="21"/>
              </w:rPr>
              <w:t>等具体内容</w:t>
            </w:r>
            <w:r>
              <w:rPr>
                <w:rFonts w:hint="eastAsia" w:cs="Times New Roman"/>
                <w:sz w:val="21"/>
                <w:szCs w:val="21"/>
                <w:lang w:val="en-US" w:eastAsia="zh-CN"/>
              </w:rPr>
              <w:t>进行打分</w:t>
            </w:r>
            <w:r>
              <w:rPr>
                <w:rFonts w:hint="eastAsia" w:cs="Times New Roman"/>
                <w:sz w:val="21"/>
                <w:szCs w:val="21"/>
                <w:lang w:eastAsia="zh-CN"/>
              </w:rPr>
              <w:t>：</w:t>
            </w:r>
          </w:p>
          <w:p w14:paraId="161179A0">
            <w:pPr>
              <w:widowControl/>
              <w:numPr>
                <w:ilvl w:val="0"/>
                <w:numId w:val="0"/>
              </w:numPr>
              <w:spacing w:line="360" w:lineRule="auto"/>
              <w:ind w:leftChars="0"/>
              <w:rPr>
                <w:rFonts w:ascii="宋体" w:hAnsi="宋体"/>
                <w:sz w:val="21"/>
                <w:szCs w:val="21"/>
              </w:rPr>
            </w:pPr>
            <w:r>
              <w:rPr>
                <w:rFonts w:ascii="宋体" w:hAnsi="宋体"/>
                <w:sz w:val="21"/>
                <w:szCs w:val="21"/>
              </w:rPr>
              <w:t>售后服务方案全面科学、完善合理、切实可行、符合项目实际情况，对采购人有利得</w:t>
            </w:r>
            <w:r>
              <w:rPr>
                <w:rFonts w:hint="eastAsia" w:ascii="宋体" w:hAnsi="宋体"/>
                <w:sz w:val="21"/>
                <w:szCs w:val="21"/>
                <w:lang w:val="en-US" w:eastAsia="zh-CN"/>
              </w:rPr>
              <w:t>10</w:t>
            </w:r>
            <w:r>
              <w:rPr>
                <w:rFonts w:ascii="宋体" w:hAnsi="宋体"/>
                <w:sz w:val="21"/>
                <w:szCs w:val="21"/>
              </w:rPr>
              <w:t>分；</w:t>
            </w:r>
          </w:p>
          <w:p w14:paraId="2E24A061">
            <w:pPr>
              <w:widowControl/>
              <w:numPr>
                <w:ilvl w:val="0"/>
                <w:numId w:val="0"/>
              </w:numPr>
              <w:spacing w:line="360" w:lineRule="auto"/>
              <w:ind w:leftChars="0"/>
              <w:rPr>
                <w:rFonts w:hint="eastAsia" w:ascii="宋体" w:hAnsi="宋体"/>
                <w:sz w:val="21"/>
                <w:szCs w:val="21"/>
                <w:lang w:val="en-US" w:eastAsia="zh-CN"/>
              </w:rPr>
            </w:pPr>
            <w:r>
              <w:rPr>
                <w:rFonts w:hint="eastAsia" w:ascii="宋体" w:hAnsi="宋体"/>
                <w:sz w:val="21"/>
                <w:szCs w:val="21"/>
                <w:lang w:val="en-US" w:eastAsia="zh-CN"/>
              </w:rPr>
              <w:t>方案比较详细、合理可行的得8分；</w:t>
            </w:r>
          </w:p>
          <w:p w14:paraId="0200CAE1">
            <w:pPr>
              <w:widowControl/>
              <w:numPr>
                <w:ilvl w:val="0"/>
                <w:numId w:val="0"/>
              </w:numPr>
              <w:spacing w:line="360" w:lineRule="auto"/>
              <w:ind w:leftChars="0"/>
              <w:rPr>
                <w:rFonts w:ascii="宋体" w:hAnsi="宋体"/>
                <w:sz w:val="21"/>
                <w:szCs w:val="21"/>
              </w:rPr>
            </w:pPr>
            <w:r>
              <w:rPr>
                <w:rFonts w:ascii="宋体" w:hAnsi="宋体"/>
                <w:sz w:val="21"/>
                <w:szCs w:val="21"/>
              </w:rPr>
              <w:t>方案不够详细，</w:t>
            </w:r>
            <w:r>
              <w:rPr>
                <w:rFonts w:hint="eastAsia" w:ascii="宋体" w:hAnsi="宋体"/>
                <w:sz w:val="21"/>
                <w:szCs w:val="21"/>
                <w:lang w:val="en-US" w:eastAsia="zh-CN"/>
              </w:rPr>
              <w:t>合理性可行性一般的得5</w:t>
            </w:r>
            <w:r>
              <w:rPr>
                <w:rFonts w:ascii="宋体" w:hAnsi="宋体"/>
                <w:sz w:val="21"/>
                <w:szCs w:val="21"/>
              </w:rPr>
              <w:t>分；</w:t>
            </w:r>
          </w:p>
          <w:p w14:paraId="238FE221">
            <w:pPr>
              <w:widowControl/>
              <w:numPr>
                <w:ilvl w:val="0"/>
                <w:numId w:val="0"/>
              </w:numPr>
              <w:spacing w:line="360" w:lineRule="auto"/>
              <w:ind w:leftChars="0"/>
              <w:rPr>
                <w:rFonts w:ascii="宋体" w:hAnsi="宋体"/>
                <w:sz w:val="21"/>
                <w:szCs w:val="21"/>
              </w:rPr>
            </w:pPr>
            <w:r>
              <w:rPr>
                <w:rFonts w:ascii="宋体" w:hAnsi="宋体"/>
                <w:sz w:val="21"/>
                <w:szCs w:val="21"/>
              </w:rPr>
              <w:t>方案</w:t>
            </w:r>
            <w:r>
              <w:rPr>
                <w:rFonts w:hint="eastAsia" w:ascii="宋体" w:hAnsi="宋体"/>
                <w:sz w:val="21"/>
                <w:szCs w:val="21"/>
                <w:lang w:val="en-US" w:eastAsia="zh-CN"/>
              </w:rPr>
              <w:t>简单</w:t>
            </w:r>
            <w:r>
              <w:rPr>
                <w:rFonts w:ascii="宋体" w:hAnsi="宋体"/>
                <w:sz w:val="21"/>
                <w:szCs w:val="21"/>
              </w:rPr>
              <w:t>，</w:t>
            </w:r>
            <w:r>
              <w:rPr>
                <w:rFonts w:hint="eastAsia" w:ascii="宋体" w:hAnsi="宋体"/>
                <w:sz w:val="21"/>
                <w:szCs w:val="21"/>
                <w:lang w:val="en-US" w:eastAsia="zh-CN"/>
              </w:rPr>
              <w:t>合理性可行性较差</w:t>
            </w:r>
            <w:r>
              <w:rPr>
                <w:rFonts w:hint="eastAsia" w:ascii="宋体" w:hAnsi="宋体"/>
                <w:sz w:val="21"/>
                <w:szCs w:val="21"/>
                <w:lang w:eastAsia="zh-CN"/>
              </w:rPr>
              <w:t>的</w:t>
            </w:r>
            <w:r>
              <w:rPr>
                <w:rFonts w:ascii="宋体" w:hAnsi="宋体"/>
                <w:sz w:val="21"/>
                <w:szCs w:val="21"/>
              </w:rPr>
              <w:t>得</w:t>
            </w:r>
            <w:r>
              <w:rPr>
                <w:rFonts w:hint="eastAsia" w:ascii="宋体" w:hAnsi="宋体"/>
                <w:sz w:val="21"/>
                <w:szCs w:val="21"/>
              </w:rPr>
              <w:t>2</w:t>
            </w:r>
            <w:r>
              <w:rPr>
                <w:rFonts w:ascii="宋体" w:hAnsi="宋体"/>
                <w:sz w:val="21"/>
                <w:szCs w:val="21"/>
              </w:rPr>
              <w:t>分；</w:t>
            </w:r>
          </w:p>
          <w:p w14:paraId="2EBFED00">
            <w:pPr>
              <w:widowControl/>
              <w:numPr>
                <w:ilvl w:val="0"/>
                <w:numId w:val="0"/>
              </w:numPr>
              <w:spacing w:line="360" w:lineRule="auto"/>
              <w:ind w:leftChars="0"/>
              <w:rPr>
                <w:rFonts w:ascii="宋体" w:hAnsi="宋体"/>
                <w:sz w:val="21"/>
                <w:szCs w:val="21"/>
              </w:rPr>
            </w:pPr>
            <w:r>
              <w:rPr>
                <w:rFonts w:ascii="宋体" w:hAnsi="宋体"/>
                <w:sz w:val="21"/>
                <w:szCs w:val="21"/>
              </w:rPr>
              <w:t>缺项</w:t>
            </w:r>
            <w:r>
              <w:rPr>
                <w:rFonts w:hint="eastAsia" w:ascii="宋体" w:hAnsi="宋体"/>
                <w:sz w:val="21"/>
                <w:szCs w:val="21"/>
                <w:lang w:val="en-US" w:eastAsia="zh-CN"/>
              </w:rPr>
              <w:t>得0分</w:t>
            </w:r>
            <w:r>
              <w:rPr>
                <w:rFonts w:ascii="宋体" w:hAnsi="宋体"/>
                <w:sz w:val="21"/>
                <w:szCs w:val="21"/>
              </w:rPr>
              <w:t>。</w:t>
            </w:r>
          </w:p>
          <w:p w14:paraId="0782A9A1">
            <w:pPr>
              <w:widowControl/>
              <w:numPr>
                <w:ilvl w:val="0"/>
                <w:numId w:val="0"/>
              </w:numPr>
              <w:spacing w:line="360" w:lineRule="auto"/>
              <w:ind w:left="0" w:leftChars="0" w:firstLine="0" w:firstLineChars="0"/>
              <w:rPr>
                <w:rFonts w:ascii="宋体" w:hAnsi="宋体"/>
                <w:b/>
                <w:bCs/>
                <w:sz w:val="21"/>
                <w:szCs w:val="21"/>
              </w:rPr>
            </w:pPr>
            <w:r>
              <w:rPr>
                <w:rFonts w:ascii="宋体" w:hAnsi="宋体" w:eastAsia="宋体" w:cs="Times New Roman"/>
                <w:b/>
                <w:bCs/>
                <w:kern w:val="2"/>
                <w:sz w:val="21"/>
                <w:szCs w:val="21"/>
                <w:lang w:val="en-US" w:eastAsia="zh-CN" w:bidi="ar-SA"/>
              </w:rPr>
              <w:t>6</w:t>
            </w:r>
            <w:r>
              <w:rPr>
                <w:rFonts w:hint="eastAsia" w:ascii="宋体" w:hAnsi="宋体" w:cs="Times New Roman"/>
                <w:b/>
                <w:bCs/>
                <w:kern w:val="2"/>
                <w:sz w:val="21"/>
                <w:szCs w:val="21"/>
                <w:lang w:val="en-US" w:eastAsia="zh-CN" w:bidi="ar-SA"/>
              </w:rPr>
              <w:t>.</w:t>
            </w:r>
            <w:r>
              <w:rPr>
                <w:rFonts w:ascii="宋体" w:hAnsi="宋体"/>
                <w:b/>
                <w:bCs/>
                <w:sz w:val="21"/>
                <w:szCs w:val="21"/>
              </w:rPr>
              <w:t>应急保障措施（满分</w:t>
            </w:r>
            <w:r>
              <w:rPr>
                <w:rFonts w:hint="eastAsia" w:ascii="宋体" w:hAnsi="宋体"/>
                <w:b/>
                <w:bCs/>
                <w:sz w:val="21"/>
                <w:szCs w:val="21"/>
                <w:lang w:val="en-US" w:eastAsia="zh-CN"/>
              </w:rPr>
              <w:t>8</w:t>
            </w:r>
            <w:r>
              <w:rPr>
                <w:rFonts w:ascii="宋体" w:hAnsi="宋体"/>
                <w:b/>
                <w:bCs/>
                <w:sz w:val="21"/>
                <w:szCs w:val="21"/>
              </w:rPr>
              <w:t>分）</w:t>
            </w:r>
          </w:p>
          <w:p w14:paraId="0E1712F7">
            <w:pPr>
              <w:widowControl/>
              <w:numPr>
                <w:ilvl w:val="0"/>
                <w:numId w:val="0"/>
              </w:numPr>
              <w:spacing w:line="360" w:lineRule="auto"/>
              <w:ind w:leftChars="0"/>
              <w:rPr>
                <w:rFonts w:ascii="宋体" w:hAnsi="宋体"/>
                <w:sz w:val="21"/>
                <w:szCs w:val="21"/>
              </w:rPr>
            </w:pPr>
            <w:r>
              <w:rPr>
                <w:rFonts w:cs="Times New Roman"/>
                <w:sz w:val="21"/>
                <w:szCs w:val="21"/>
              </w:rPr>
              <w:t>评委根据</w:t>
            </w:r>
            <w:r>
              <w:rPr>
                <w:rFonts w:hint="eastAsia" w:ascii="宋体" w:hAnsi="宋体"/>
                <w:sz w:val="21"/>
                <w:szCs w:val="21"/>
                <w:lang w:val="en-US" w:eastAsia="zh-CN"/>
              </w:rPr>
              <w:t>供应商的应急保障措施，包括但不限于</w:t>
            </w:r>
            <w:r>
              <w:rPr>
                <w:rFonts w:cs="Times New Roman"/>
                <w:sz w:val="21"/>
                <w:szCs w:val="21"/>
              </w:rPr>
              <w:t>紧急故障处理预案、备货应急方案、解决问题的能力及保障措</w:t>
            </w:r>
            <w:r>
              <w:rPr>
                <w:rFonts w:hint="eastAsia" w:cs="Times New Roman"/>
                <w:sz w:val="21"/>
                <w:szCs w:val="21"/>
                <w:lang w:val="en-US" w:eastAsia="zh-CN"/>
              </w:rPr>
              <w:t>方案</w:t>
            </w:r>
            <w:r>
              <w:rPr>
                <w:rFonts w:cs="Times New Roman"/>
                <w:sz w:val="21"/>
                <w:szCs w:val="21"/>
              </w:rPr>
              <w:t>施</w:t>
            </w:r>
            <w:r>
              <w:rPr>
                <w:rFonts w:ascii="宋体" w:hAnsi="宋体"/>
                <w:sz w:val="21"/>
                <w:szCs w:val="21"/>
              </w:rPr>
              <w:t>酌情打分</w:t>
            </w:r>
            <w:r>
              <w:rPr>
                <w:rFonts w:hint="eastAsia" w:ascii="宋体" w:hAnsi="宋体"/>
                <w:sz w:val="21"/>
                <w:szCs w:val="21"/>
                <w:lang w:eastAsia="zh-CN"/>
              </w:rPr>
              <w:t>：</w:t>
            </w:r>
          </w:p>
          <w:p w14:paraId="2DD347A0">
            <w:pPr>
              <w:widowControl/>
              <w:numPr>
                <w:ilvl w:val="0"/>
                <w:numId w:val="0"/>
              </w:numPr>
              <w:spacing w:line="360" w:lineRule="auto"/>
              <w:ind w:leftChars="0"/>
              <w:rPr>
                <w:rFonts w:ascii="宋体" w:hAnsi="宋体"/>
                <w:sz w:val="21"/>
                <w:szCs w:val="21"/>
              </w:rPr>
            </w:pPr>
            <w:r>
              <w:rPr>
                <w:rFonts w:ascii="宋体" w:hAnsi="宋体"/>
                <w:sz w:val="21"/>
                <w:szCs w:val="21"/>
              </w:rPr>
              <w:t>充分考虑</w:t>
            </w:r>
            <w:r>
              <w:rPr>
                <w:rFonts w:hint="eastAsia" w:ascii="宋体" w:hAnsi="宋体"/>
                <w:sz w:val="21"/>
                <w:szCs w:val="21"/>
                <w:lang w:val="en-US" w:eastAsia="zh-CN"/>
              </w:rPr>
              <w:t>各种应急情况</w:t>
            </w:r>
            <w:r>
              <w:rPr>
                <w:rFonts w:ascii="宋体" w:hAnsi="宋体"/>
                <w:sz w:val="21"/>
                <w:szCs w:val="21"/>
              </w:rPr>
              <w:t>，保障措施科学完善，针对性强，符合项目实际情况，切实可行得</w:t>
            </w:r>
            <w:r>
              <w:rPr>
                <w:rFonts w:hint="eastAsia" w:ascii="宋体" w:hAnsi="宋体"/>
                <w:sz w:val="21"/>
                <w:szCs w:val="21"/>
                <w:lang w:val="en-US" w:eastAsia="zh-CN"/>
              </w:rPr>
              <w:t>8</w:t>
            </w:r>
            <w:r>
              <w:rPr>
                <w:rFonts w:ascii="宋体" w:hAnsi="宋体"/>
                <w:sz w:val="21"/>
                <w:szCs w:val="21"/>
              </w:rPr>
              <w:t>分；</w:t>
            </w:r>
          </w:p>
          <w:p w14:paraId="31BD3CF2">
            <w:pPr>
              <w:widowControl/>
              <w:numPr>
                <w:ilvl w:val="0"/>
                <w:numId w:val="0"/>
              </w:numPr>
              <w:spacing w:line="360" w:lineRule="auto"/>
              <w:ind w:leftChars="0"/>
              <w:rPr>
                <w:rFonts w:hint="eastAsia" w:ascii="宋体" w:hAnsi="宋体"/>
                <w:sz w:val="21"/>
                <w:szCs w:val="21"/>
                <w:lang w:val="en-US" w:eastAsia="zh-CN"/>
              </w:rPr>
            </w:pPr>
            <w:r>
              <w:rPr>
                <w:rFonts w:hint="eastAsia" w:ascii="宋体" w:hAnsi="宋体"/>
                <w:sz w:val="21"/>
                <w:szCs w:val="21"/>
                <w:lang w:val="en-US" w:eastAsia="zh-CN"/>
              </w:rPr>
              <w:t>保障措施较为完善、合理、可行得6分；</w:t>
            </w:r>
          </w:p>
          <w:p w14:paraId="20D005AF">
            <w:pPr>
              <w:widowControl/>
              <w:numPr>
                <w:ilvl w:val="0"/>
                <w:numId w:val="0"/>
              </w:numPr>
              <w:spacing w:line="360" w:lineRule="auto"/>
              <w:ind w:leftChars="0"/>
              <w:rPr>
                <w:rFonts w:hint="eastAsia" w:ascii="宋体" w:hAnsi="宋体"/>
                <w:sz w:val="21"/>
                <w:szCs w:val="21"/>
                <w:lang w:val="en-US" w:eastAsia="zh-CN"/>
              </w:rPr>
            </w:pPr>
            <w:r>
              <w:rPr>
                <w:rFonts w:hint="eastAsia" w:ascii="宋体" w:hAnsi="宋体"/>
                <w:sz w:val="21"/>
                <w:szCs w:val="21"/>
                <w:lang w:val="en-US" w:eastAsia="zh-CN"/>
              </w:rPr>
              <w:t>措施不够详细，合理性可行性一般得4分；</w:t>
            </w:r>
          </w:p>
          <w:p w14:paraId="666061EB">
            <w:pPr>
              <w:widowControl/>
              <w:numPr>
                <w:ilvl w:val="0"/>
                <w:numId w:val="0"/>
              </w:numPr>
              <w:spacing w:line="360" w:lineRule="auto"/>
              <w:ind w:leftChars="0"/>
              <w:rPr>
                <w:rFonts w:ascii="宋体" w:hAnsi="宋体"/>
                <w:sz w:val="21"/>
                <w:szCs w:val="21"/>
              </w:rPr>
            </w:pPr>
            <w:r>
              <w:rPr>
                <w:rFonts w:hint="eastAsia" w:ascii="宋体" w:hAnsi="宋体"/>
                <w:sz w:val="21"/>
                <w:szCs w:val="21"/>
                <w:lang w:val="en-US" w:eastAsia="zh-CN"/>
              </w:rPr>
              <w:t>措施简单，</w:t>
            </w:r>
            <w:r>
              <w:rPr>
                <w:rFonts w:ascii="宋体" w:hAnsi="宋体"/>
                <w:sz w:val="21"/>
                <w:szCs w:val="21"/>
              </w:rPr>
              <w:t>解决问题能力</w:t>
            </w:r>
            <w:r>
              <w:rPr>
                <w:rFonts w:hint="eastAsia" w:ascii="宋体" w:hAnsi="宋体"/>
                <w:sz w:val="21"/>
                <w:szCs w:val="21"/>
                <w:lang w:val="en-US" w:eastAsia="zh-CN"/>
              </w:rPr>
              <w:t>欠缺</w:t>
            </w:r>
            <w:r>
              <w:rPr>
                <w:rFonts w:ascii="宋体" w:hAnsi="宋体"/>
                <w:sz w:val="21"/>
                <w:szCs w:val="21"/>
              </w:rPr>
              <w:t>得</w:t>
            </w:r>
            <w:r>
              <w:rPr>
                <w:rFonts w:hint="eastAsia" w:ascii="宋体" w:hAnsi="宋体"/>
                <w:sz w:val="21"/>
                <w:szCs w:val="21"/>
                <w:lang w:val="en-US" w:eastAsia="zh-CN"/>
              </w:rPr>
              <w:t>2</w:t>
            </w:r>
            <w:r>
              <w:rPr>
                <w:rFonts w:ascii="宋体" w:hAnsi="宋体"/>
                <w:sz w:val="21"/>
                <w:szCs w:val="21"/>
              </w:rPr>
              <w:t>分；</w:t>
            </w:r>
          </w:p>
          <w:p w14:paraId="635A0F9E">
            <w:pPr>
              <w:spacing w:line="360" w:lineRule="auto"/>
              <w:rPr>
                <w:rFonts w:ascii="宋体" w:hAnsi="宋体"/>
                <w:sz w:val="21"/>
                <w:szCs w:val="21"/>
              </w:rPr>
            </w:pPr>
            <w:r>
              <w:rPr>
                <w:rFonts w:ascii="宋体" w:hAnsi="宋体"/>
                <w:sz w:val="21"/>
                <w:szCs w:val="21"/>
              </w:rPr>
              <w:t>缺项</w:t>
            </w:r>
            <w:r>
              <w:rPr>
                <w:rFonts w:hint="eastAsia" w:ascii="宋体" w:hAnsi="宋体"/>
                <w:sz w:val="21"/>
                <w:szCs w:val="21"/>
                <w:lang w:val="en-US" w:eastAsia="zh-CN"/>
              </w:rPr>
              <w:t>得0分</w:t>
            </w:r>
            <w:r>
              <w:rPr>
                <w:rFonts w:ascii="宋体" w:hAnsi="宋体"/>
                <w:sz w:val="21"/>
                <w:szCs w:val="21"/>
              </w:rPr>
              <w:t>。</w:t>
            </w:r>
          </w:p>
        </w:tc>
      </w:tr>
      <w:tr w14:paraId="2076D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6B95E3FD">
            <w:pPr>
              <w:autoSpaceDE w:val="0"/>
              <w:autoSpaceDN w:val="0"/>
              <w:spacing w:line="360" w:lineRule="auto"/>
              <w:rPr>
                <w:rFonts w:ascii="宋体" w:hAnsi="宋体"/>
                <w:kern w:val="0"/>
                <w:sz w:val="21"/>
                <w:szCs w:val="21"/>
              </w:rPr>
            </w:pPr>
            <w:r>
              <w:rPr>
                <w:rFonts w:ascii="宋体" w:hAnsi="宋体"/>
                <w:kern w:val="0"/>
                <w:sz w:val="21"/>
                <w:szCs w:val="21"/>
              </w:rPr>
              <w:t>供应商综合得分=投标报价得分+技术部分得分+商务部分得分。满分</w:t>
            </w:r>
            <w:r>
              <w:rPr>
                <w:rFonts w:hint="eastAsia" w:ascii="宋体" w:hAnsi="宋体"/>
                <w:kern w:val="0"/>
                <w:sz w:val="21"/>
                <w:szCs w:val="21"/>
              </w:rPr>
              <w:t>100分。</w:t>
            </w:r>
          </w:p>
          <w:p w14:paraId="28DC45F8">
            <w:pPr>
              <w:autoSpaceDE w:val="0"/>
              <w:autoSpaceDN w:val="0"/>
              <w:spacing w:line="360" w:lineRule="auto"/>
              <w:rPr>
                <w:rFonts w:ascii="宋体" w:hAnsi="宋体"/>
                <w:kern w:val="0"/>
                <w:sz w:val="21"/>
                <w:szCs w:val="21"/>
              </w:rPr>
            </w:pPr>
            <w:r>
              <w:rPr>
                <w:rFonts w:ascii="宋体" w:hAnsi="宋体"/>
                <w:kern w:val="0"/>
                <w:sz w:val="21"/>
                <w:szCs w:val="21"/>
              </w:rPr>
              <w:t>供应商最终得分：</w:t>
            </w:r>
          </w:p>
          <w:p w14:paraId="60C01DEA">
            <w:pPr>
              <w:autoSpaceDE w:val="0"/>
              <w:autoSpaceDN w:val="0"/>
              <w:spacing w:line="360" w:lineRule="auto"/>
              <w:rPr>
                <w:rFonts w:ascii="宋体" w:hAnsi="宋体"/>
                <w:kern w:val="0"/>
                <w:sz w:val="21"/>
                <w:szCs w:val="21"/>
              </w:rPr>
            </w:pPr>
            <w:r>
              <w:rPr>
                <w:rFonts w:hint="eastAsia" w:ascii="宋体" w:hAnsi="宋体"/>
                <w:kern w:val="0"/>
                <w:sz w:val="21"/>
                <w:szCs w:val="21"/>
                <w:lang w:eastAsia="zh-CN"/>
              </w:rPr>
              <w:t>1.</w:t>
            </w:r>
            <w:r>
              <w:rPr>
                <w:rFonts w:ascii="宋体" w:hAnsi="宋体"/>
                <w:kern w:val="0"/>
                <w:sz w:val="21"/>
                <w:szCs w:val="21"/>
              </w:rPr>
              <w:t>评标委员会完成评审后，按所有评委评分结果平均值作为该供应商最终得分。</w:t>
            </w:r>
          </w:p>
          <w:p w14:paraId="48ED29C0">
            <w:pPr>
              <w:autoSpaceDE w:val="0"/>
              <w:autoSpaceDN w:val="0"/>
              <w:spacing w:line="360" w:lineRule="auto"/>
              <w:rPr>
                <w:rFonts w:ascii="宋体" w:hAnsi="宋体"/>
                <w:kern w:val="0"/>
                <w:sz w:val="21"/>
                <w:szCs w:val="21"/>
              </w:rPr>
            </w:pPr>
            <w:r>
              <w:rPr>
                <w:rFonts w:hint="eastAsia" w:ascii="宋体" w:hAnsi="宋体"/>
                <w:kern w:val="0"/>
                <w:sz w:val="21"/>
                <w:szCs w:val="21"/>
                <w:lang w:eastAsia="zh-CN"/>
              </w:rPr>
              <w:t>2.</w:t>
            </w:r>
            <w:r>
              <w:rPr>
                <w:rFonts w:ascii="宋体" w:hAnsi="宋体"/>
                <w:kern w:val="0"/>
                <w:sz w:val="21"/>
                <w:szCs w:val="21"/>
              </w:rPr>
              <w:t>本办法计算过程中分值按四舍五入保留</w:t>
            </w:r>
            <w:r>
              <w:rPr>
                <w:rFonts w:hint="eastAsia" w:ascii="宋体" w:hAnsi="宋体"/>
                <w:kern w:val="0"/>
                <w:sz w:val="21"/>
                <w:szCs w:val="21"/>
                <w:lang w:eastAsia="zh-CN"/>
              </w:rPr>
              <w:t>两位</w:t>
            </w:r>
            <w:r>
              <w:rPr>
                <w:rFonts w:ascii="宋体" w:hAnsi="宋体"/>
                <w:kern w:val="0"/>
                <w:sz w:val="21"/>
                <w:szCs w:val="21"/>
              </w:rPr>
              <w:t>小数。</w:t>
            </w:r>
          </w:p>
          <w:p w14:paraId="4FF31701">
            <w:pPr>
              <w:spacing w:line="360" w:lineRule="auto"/>
              <w:rPr>
                <w:rFonts w:ascii="宋体" w:hAnsi="宋体"/>
                <w:b/>
                <w:kern w:val="0"/>
                <w:sz w:val="21"/>
                <w:szCs w:val="21"/>
              </w:rPr>
            </w:pPr>
            <w:r>
              <w:rPr>
                <w:rFonts w:ascii="宋体" w:hAnsi="宋体"/>
                <w:kern w:val="0"/>
                <w:sz w:val="21"/>
                <w:szCs w:val="21"/>
              </w:rPr>
              <w:t>同一品牌处理方法：提供相同品牌产品且通过资格审查、符合性审查的不同供应商参加同一合同项下投标的，按一家供应商计算，评审后得分最高的同品牌供应商获得中标人推荐资格</w:t>
            </w:r>
            <w:r>
              <w:rPr>
                <w:rFonts w:hint="eastAsia" w:ascii="宋体" w:hAnsi="宋体"/>
                <w:kern w:val="0"/>
                <w:sz w:val="21"/>
                <w:szCs w:val="21"/>
              </w:rPr>
              <w:t>；</w:t>
            </w:r>
            <w:r>
              <w:rPr>
                <w:rFonts w:ascii="宋体" w:hAnsi="宋体"/>
                <w:kern w:val="0"/>
                <w:sz w:val="21"/>
                <w:szCs w:val="21"/>
              </w:rPr>
              <w:t>评审得分相同的，由采购人或者采购人委托评标委员会按照招标文件规定的方式确定一个供应商获得中标人推荐资格，招标文件未规定</w:t>
            </w:r>
            <w:r>
              <w:rPr>
                <w:rFonts w:hint="eastAsia" w:ascii="宋体" w:hAnsi="宋体"/>
                <w:kern w:val="0"/>
                <w:sz w:val="21"/>
                <w:szCs w:val="21"/>
                <w:lang w:eastAsia="zh-CN"/>
              </w:rPr>
              <w:t>由</w:t>
            </w:r>
            <w:r>
              <w:rPr>
                <w:rFonts w:ascii="宋体" w:hAnsi="宋体"/>
                <w:kern w:val="0"/>
                <w:sz w:val="21"/>
                <w:szCs w:val="21"/>
              </w:rPr>
              <w:t>评标委员会采取随机抽取方式确定，其他同品牌供应商不作为中标候选人。非单一产品采购项目，采购人应当根据采购项目技术构成、产品价格比重等合理确定核心产品，并在招标文件中载明。多家投标人提供的核心产品品牌相同的，按以上规定处理。评标委员会对通过以上评审的供应商，按最终得分从高到低排序，确定1-3名中标候选人。综合评分相等时，以投标报价低的优先；投标报价也相等的，以技术标得分高的优先。</w:t>
            </w:r>
          </w:p>
        </w:tc>
      </w:tr>
    </w:tbl>
    <w:p w14:paraId="41D1C9B7">
      <w:pPr>
        <w:pStyle w:val="2"/>
        <w:ind w:firstLine="360" w:firstLineChars="200"/>
      </w:pPr>
    </w:p>
    <w:p w14:paraId="5CC2805A">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20.3 确定实质上响应招标文件且满足下列条件之一者为中标候选供应商（或中标供应商）：</w:t>
      </w:r>
    </w:p>
    <w:p w14:paraId="25DF8318">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本项目采用综合评分法，按评标总得分由高到低顺序排列。得分相同的，按投标报价由低到高顺序排列。得分与投标报价均相同的，按技术指标优劣排列。得分、投标报价与技术指标均相同的，按服务优劣排列。以上全部相同的，通过随机抽取产生。</w:t>
      </w:r>
    </w:p>
    <w:p w14:paraId="1E7E2495">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20.4 评标结果汇总完成后，除下列情形外，任何人不得修改评标结果：</w:t>
      </w:r>
    </w:p>
    <w:p w14:paraId="40DF2DF8">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（1）分值汇总计算错误的；</w:t>
      </w:r>
    </w:p>
    <w:p w14:paraId="72B370C8">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（2）分项评分超出评分标准范围的；</w:t>
      </w:r>
    </w:p>
    <w:p w14:paraId="21B95E14">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（3）评标委员会成员对客观评审因素评分不一致的；</w:t>
      </w:r>
    </w:p>
    <w:p w14:paraId="29A3A474">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（4）经评标委员会认定评分畸高、畸低的。</w:t>
      </w:r>
    </w:p>
    <w:p w14:paraId="2BD20BAA">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监督部门。</w:t>
      </w:r>
    </w:p>
    <w:p w14:paraId="43863D42">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投标人对以上情形提出质疑的，采购人或者采购代理机构可以组织原评标委员会进行重新评审，重新评审改变评标结果的，应当书面报告本级监督部门。</w:t>
      </w:r>
    </w:p>
    <w:p w14:paraId="1FAA8B3C">
      <w:pPr>
        <w:pStyle w:val="5"/>
        <w:ind w:firstLine="422"/>
        <w:jc w:val="center"/>
        <w:rPr>
          <w:rFonts w:ascii="宋体" w:hAnsi="宋体" w:cs="宋体"/>
          <w:sz w:val="21"/>
          <w:szCs w:val="21"/>
          <w:lang w:val="zh-CN"/>
        </w:rPr>
      </w:pPr>
      <w:bookmarkStart w:id="687" w:name="_Toc8033_WPSOffice_Level2"/>
      <w:bookmarkStart w:id="688" w:name="_Toc29306"/>
      <w:bookmarkStart w:id="689" w:name="_Toc4766"/>
      <w:bookmarkStart w:id="690" w:name="_Toc14339"/>
      <w:bookmarkStart w:id="691" w:name="_Toc16473"/>
      <w:bookmarkStart w:id="692" w:name="_Toc24872"/>
      <w:bookmarkStart w:id="693" w:name="_Toc351"/>
      <w:bookmarkStart w:id="694" w:name="_Toc17390"/>
      <w:bookmarkStart w:id="695" w:name="_Toc16336"/>
      <w:bookmarkStart w:id="696" w:name="_Toc23539"/>
      <w:bookmarkStart w:id="697" w:name="_Toc13727"/>
      <w:bookmarkStart w:id="698" w:name="_Toc15586"/>
      <w:bookmarkStart w:id="699" w:name="_Toc15793"/>
      <w:bookmarkStart w:id="700" w:name="_Toc21228"/>
      <w:bookmarkStart w:id="701" w:name="_Toc7817"/>
      <w:bookmarkStart w:id="702" w:name="_Toc32082"/>
      <w:bookmarkStart w:id="703" w:name="_Toc10142"/>
      <w:bookmarkStart w:id="704" w:name="_Toc21057"/>
      <w:bookmarkStart w:id="705" w:name="_Toc23975"/>
      <w:bookmarkStart w:id="706" w:name="_Toc6459"/>
      <w:bookmarkStart w:id="707" w:name="_Toc28628_WPSOffice_Level2"/>
      <w:bookmarkStart w:id="708" w:name="_Toc12015"/>
      <w:bookmarkStart w:id="709" w:name="_Toc7254"/>
      <w:bookmarkStart w:id="710" w:name="_Toc6710"/>
      <w:r>
        <w:rPr>
          <w:rFonts w:hint="eastAsia" w:ascii="宋体" w:hAnsi="宋体" w:cs="宋体"/>
          <w:sz w:val="21"/>
          <w:szCs w:val="21"/>
          <w:lang w:val="zh-CN"/>
        </w:rPr>
        <w:t>八、中标</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05C1F9FB">
      <w:pPr>
        <w:spacing w:line="360" w:lineRule="auto"/>
        <w:outlineLvl w:val="2"/>
        <w:rPr>
          <w:rFonts w:ascii="宋体" w:hAnsi="宋体" w:cs="宋体"/>
          <w:b/>
          <w:bCs/>
          <w:sz w:val="21"/>
          <w:szCs w:val="21"/>
          <w:lang w:val="zh-CN"/>
        </w:rPr>
      </w:pPr>
      <w:bookmarkStart w:id="711" w:name="_Toc11287"/>
      <w:bookmarkStart w:id="712" w:name="_Toc23688"/>
      <w:bookmarkStart w:id="713" w:name="_Toc20275"/>
      <w:bookmarkStart w:id="714" w:name="_Toc8247"/>
      <w:bookmarkStart w:id="715" w:name="_Toc16197"/>
      <w:bookmarkStart w:id="716" w:name="_Toc25631"/>
      <w:bookmarkStart w:id="717" w:name="_Toc5533"/>
      <w:bookmarkStart w:id="718" w:name="_Toc18813"/>
      <w:bookmarkStart w:id="719" w:name="_Toc23761"/>
      <w:bookmarkStart w:id="720" w:name="_Toc23078_WPSOffice_Level3"/>
      <w:bookmarkStart w:id="721" w:name="_Toc31450"/>
      <w:bookmarkStart w:id="722" w:name="_Toc26239"/>
      <w:bookmarkStart w:id="723" w:name="_Toc25388"/>
      <w:bookmarkStart w:id="724" w:name="_Toc1517"/>
      <w:bookmarkStart w:id="725" w:name="_Toc23108"/>
      <w:bookmarkStart w:id="726" w:name="_Toc32680"/>
      <w:bookmarkStart w:id="727" w:name="_Toc3432"/>
      <w:bookmarkStart w:id="728" w:name="_Toc8836"/>
      <w:bookmarkStart w:id="729" w:name="_Toc9806"/>
      <w:bookmarkStart w:id="730" w:name="_Toc6803"/>
      <w:bookmarkStart w:id="731" w:name="_Toc15432"/>
      <w:r>
        <w:rPr>
          <w:rFonts w:hint="eastAsia" w:ascii="宋体" w:hAnsi="宋体" w:cs="宋体"/>
          <w:b/>
          <w:bCs/>
          <w:sz w:val="21"/>
          <w:szCs w:val="21"/>
          <w:lang w:val="zh-CN"/>
        </w:rPr>
        <w:t>21.推荐并确定中标人</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14:paraId="11E13BBF">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rPr>
        <w:t>21.1 采购代理机构应当在评标结束后2个工作日内将评标报告送采购人。采购人应当自收到评标报告之日起5个工作日</w:t>
      </w:r>
      <w:r>
        <w:rPr>
          <w:rFonts w:hint="eastAsia" w:ascii="宋体" w:hAnsi="宋体" w:cs="宋体"/>
          <w:color w:val="000000" w:themeColor="text1"/>
          <w:sz w:val="21"/>
          <w:szCs w:val="21"/>
          <w14:textFill>
            <w14:solidFill>
              <w14:schemeClr w14:val="tx1"/>
            </w14:solidFill>
          </w14:textFill>
        </w:rPr>
        <w:t>内</w:t>
      </w:r>
      <w:r>
        <w:rPr>
          <w:rFonts w:hint="eastAsia" w:ascii="宋体" w:hAnsi="宋体" w:cs="宋体"/>
          <w:color w:val="000000" w:themeColor="text1"/>
          <w:kern w:val="0"/>
          <w:sz w:val="21"/>
          <w:szCs w:val="21"/>
          <w14:textFill>
            <w14:solidFill>
              <w14:schemeClr w14:val="tx1"/>
            </w14:solidFill>
          </w14:textFill>
        </w:rPr>
        <w:t>（如有最新文件，依据最新文件规定）</w:t>
      </w:r>
      <w:r>
        <w:rPr>
          <w:rFonts w:hint="eastAsia" w:ascii="宋体" w:hAnsi="宋体" w:cs="宋体"/>
          <w:color w:val="000000" w:themeColor="text1"/>
          <w:sz w:val="21"/>
          <w:szCs w:val="21"/>
          <w14:textFill>
            <w14:solidFill>
              <w14:schemeClr w14:val="tx1"/>
            </w14:solidFill>
          </w14:textFill>
        </w:rPr>
        <w:t>，在评标报告确定的中标候选人名单中按顺序确定中标人。中标候选人并列的，由采购人委托评标委员会按照</w:t>
      </w:r>
      <w:r>
        <w:rPr>
          <w:rFonts w:hint="eastAsia" w:ascii="宋体" w:hAnsi="宋体" w:cs="宋体"/>
          <w:sz w:val="21"/>
          <w:szCs w:val="21"/>
        </w:rPr>
        <w:t>招标文件规定的方式确定中标人；招标文件未规定的，采取随机抽取的方式确定</w:t>
      </w:r>
      <w:r>
        <w:rPr>
          <w:rFonts w:hint="eastAsia" w:ascii="宋体" w:hAnsi="宋体" w:cs="宋体"/>
          <w:sz w:val="21"/>
          <w:szCs w:val="21"/>
          <w:shd w:val="clear" w:color="auto" w:fill="FFFFFF"/>
        </w:rPr>
        <w:t>。</w:t>
      </w:r>
    </w:p>
    <w:p w14:paraId="308D1D3D">
      <w:pPr>
        <w:autoSpaceDE w:val="0"/>
        <w:autoSpaceDN w:val="0"/>
        <w:spacing w:line="360" w:lineRule="auto"/>
        <w:ind w:firstLine="420" w:firstLineChars="200"/>
        <w:rPr>
          <w:rFonts w:ascii="宋体" w:hAnsi="宋体" w:cs="宋体"/>
          <w:sz w:val="21"/>
          <w:szCs w:val="21"/>
        </w:rPr>
      </w:pPr>
      <w:r>
        <w:rPr>
          <w:rFonts w:hint="eastAsia" w:ascii="宋体" w:hAnsi="宋体" w:cs="宋体"/>
          <w:sz w:val="21"/>
          <w:szCs w:val="21"/>
        </w:rPr>
        <w:t>21.2 采购人在收到评标报告5个工作日内未按评标报告推荐的中标候选人顺序确定中标人，又不能说明合法理由的，视同按评标报告推荐的顺序确定排名第一的中标候选人为中标人。</w:t>
      </w:r>
    </w:p>
    <w:p w14:paraId="27170B10">
      <w:pPr>
        <w:spacing w:line="360" w:lineRule="auto"/>
        <w:outlineLvl w:val="2"/>
        <w:rPr>
          <w:rFonts w:ascii="宋体" w:hAnsi="宋体" w:cs="宋体"/>
          <w:b/>
          <w:bCs/>
          <w:sz w:val="21"/>
          <w:szCs w:val="21"/>
          <w:lang w:val="zh-CN"/>
        </w:rPr>
      </w:pPr>
      <w:bookmarkStart w:id="732" w:name="_Toc6400"/>
      <w:bookmarkStart w:id="733" w:name="_Toc569"/>
      <w:bookmarkStart w:id="734" w:name="_Toc28092"/>
      <w:bookmarkStart w:id="735" w:name="_Toc5141"/>
      <w:bookmarkStart w:id="736" w:name="_Toc17968"/>
      <w:bookmarkStart w:id="737" w:name="_Toc13102"/>
      <w:bookmarkStart w:id="738" w:name="_Toc12412"/>
      <w:bookmarkStart w:id="739" w:name="_Toc511"/>
      <w:bookmarkStart w:id="740" w:name="_Toc11856"/>
      <w:bookmarkStart w:id="741" w:name="_Toc6140"/>
      <w:bookmarkStart w:id="742" w:name="_Toc18933"/>
      <w:bookmarkStart w:id="743" w:name="_Toc12902"/>
      <w:bookmarkStart w:id="744" w:name="_Toc637"/>
      <w:bookmarkStart w:id="745" w:name="_Toc8936"/>
      <w:bookmarkStart w:id="746" w:name="_Toc26692"/>
      <w:bookmarkStart w:id="747" w:name="_Toc19493"/>
      <w:bookmarkStart w:id="748" w:name="_Toc2982"/>
      <w:bookmarkStart w:id="749" w:name="_Toc19319"/>
      <w:bookmarkStart w:id="750" w:name="_Toc19086_WPSOffice_Level3"/>
      <w:bookmarkStart w:id="751" w:name="_Toc29192"/>
      <w:bookmarkStart w:id="752" w:name="_Toc23380"/>
      <w:r>
        <w:rPr>
          <w:rFonts w:hint="eastAsia" w:ascii="宋体" w:hAnsi="宋体" w:cs="宋体"/>
          <w:b/>
          <w:bCs/>
          <w:sz w:val="21"/>
          <w:szCs w:val="21"/>
          <w:lang w:val="zh-CN"/>
        </w:rPr>
        <w:t>22.中标通知</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14:paraId="535A6EF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22.1 采购人或者采购代理机构应当自中标人确定后，在公告发布媒体上公告中标结果。</w:t>
      </w:r>
    </w:p>
    <w:p w14:paraId="758EE3C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22.2 中标结果公告内容应当包括采购人及其委托的采购代理机构的名称、地址、联系方式，项目名称和项目编号，中标人名称、地址和中标金额，中标公告期限以及评审专家名单。</w:t>
      </w:r>
    </w:p>
    <w:p w14:paraId="381B0707">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22.3 中标公告期限为1个工作日。</w:t>
      </w:r>
    </w:p>
    <w:p w14:paraId="194C00C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22.4 在公告中标结果后，</w:t>
      </w:r>
      <w:r>
        <w:rPr>
          <w:rFonts w:hint="eastAsia" w:ascii="宋体" w:hAnsi="宋体" w:cs="宋体"/>
          <w:sz w:val="21"/>
          <w:szCs w:val="21"/>
          <w:shd w:val="clear" w:color="auto" w:fill="FFFFFF"/>
        </w:rPr>
        <w:t>采购人或者采购代理机构</w:t>
      </w:r>
      <w:r>
        <w:rPr>
          <w:rFonts w:hint="eastAsia" w:ascii="宋体" w:hAnsi="宋体" w:cs="宋体"/>
          <w:kern w:val="0"/>
          <w:sz w:val="21"/>
          <w:szCs w:val="21"/>
        </w:rPr>
        <w:t>应当向中标人发出中标通知书。</w:t>
      </w:r>
    </w:p>
    <w:p w14:paraId="075F45C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22.5 中标通知书发出后，采购人不得违法改变中标结果，中标人无正当理由不得放弃中标。</w:t>
      </w:r>
    </w:p>
    <w:p w14:paraId="75628FA8">
      <w:pPr>
        <w:pStyle w:val="5"/>
        <w:ind w:firstLine="422"/>
        <w:jc w:val="center"/>
        <w:rPr>
          <w:rFonts w:ascii="宋体" w:hAnsi="宋体" w:cs="宋体"/>
          <w:sz w:val="21"/>
          <w:szCs w:val="21"/>
          <w:lang w:val="zh-CN"/>
        </w:rPr>
      </w:pPr>
      <w:bookmarkStart w:id="753" w:name="_Toc1512"/>
      <w:bookmarkStart w:id="754" w:name="_Toc31230_WPSOffice_Level2"/>
      <w:bookmarkStart w:id="755" w:name="_Toc19794"/>
      <w:bookmarkStart w:id="756" w:name="_Toc26094"/>
      <w:bookmarkStart w:id="757" w:name="_Toc4637"/>
      <w:bookmarkStart w:id="758" w:name="_Toc17425"/>
      <w:bookmarkStart w:id="759" w:name="_Toc6738"/>
      <w:bookmarkStart w:id="760" w:name="_Toc2785"/>
      <w:bookmarkStart w:id="761" w:name="_Toc1968"/>
      <w:bookmarkStart w:id="762" w:name="_Toc32532"/>
      <w:bookmarkStart w:id="763" w:name="_Toc13806"/>
      <w:bookmarkStart w:id="764" w:name="_Toc3098"/>
      <w:bookmarkStart w:id="765" w:name="_Toc6909"/>
      <w:bookmarkStart w:id="766" w:name="_Toc15470"/>
      <w:bookmarkStart w:id="767" w:name="_Toc815"/>
      <w:bookmarkStart w:id="768" w:name="_Toc30069"/>
      <w:bookmarkStart w:id="769" w:name="_Toc16862"/>
      <w:bookmarkStart w:id="770" w:name="_Toc14332"/>
      <w:bookmarkStart w:id="771" w:name="_Toc23612"/>
      <w:bookmarkStart w:id="772" w:name="_Toc32618_WPSOffice_Level2"/>
      <w:bookmarkStart w:id="773" w:name="_Toc21910"/>
      <w:bookmarkStart w:id="774" w:name="_Toc30083"/>
      <w:bookmarkStart w:id="775" w:name="_Toc24961"/>
      <w:bookmarkStart w:id="776" w:name="_Toc22507"/>
      <w:r>
        <w:rPr>
          <w:rFonts w:hint="eastAsia" w:ascii="宋体" w:hAnsi="宋体" w:cs="宋体"/>
          <w:sz w:val="21"/>
          <w:szCs w:val="21"/>
          <w:lang w:val="zh-CN"/>
        </w:rPr>
        <w:t>九、授予合同</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3795CA24">
      <w:pPr>
        <w:spacing w:line="360" w:lineRule="auto"/>
        <w:outlineLvl w:val="2"/>
        <w:rPr>
          <w:rFonts w:ascii="宋体" w:hAnsi="宋体" w:cs="宋体"/>
          <w:b/>
          <w:bCs/>
          <w:sz w:val="21"/>
          <w:szCs w:val="21"/>
          <w:lang w:val="zh-CN"/>
        </w:rPr>
      </w:pPr>
      <w:bookmarkStart w:id="777" w:name="_Toc18682_WPSOffice_Level3"/>
      <w:bookmarkStart w:id="778" w:name="_Toc10798"/>
      <w:bookmarkStart w:id="779" w:name="_Toc27223"/>
      <w:bookmarkStart w:id="780" w:name="_Toc9846"/>
      <w:bookmarkStart w:id="781" w:name="_Toc21476"/>
      <w:bookmarkStart w:id="782" w:name="_Toc18744"/>
      <w:bookmarkStart w:id="783" w:name="_Toc32598"/>
      <w:bookmarkStart w:id="784" w:name="_Toc28640"/>
      <w:bookmarkStart w:id="785" w:name="_Toc18304"/>
      <w:bookmarkStart w:id="786" w:name="_Toc29872"/>
      <w:bookmarkStart w:id="787" w:name="_Toc26767"/>
      <w:bookmarkStart w:id="788" w:name="_Toc7334"/>
      <w:bookmarkStart w:id="789" w:name="_Toc28316"/>
      <w:bookmarkStart w:id="790" w:name="_Toc25379"/>
      <w:bookmarkStart w:id="791" w:name="_Toc29621"/>
      <w:bookmarkStart w:id="792" w:name="_Toc19503"/>
      <w:bookmarkStart w:id="793" w:name="_Toc3282"/>
      <w:bookmarkStart w:id="794" w:name="_Toc22740"/>
      <w:bookmarkStart w:id="795" w:name="_Toc16937"/>
      <w:bookmarkStart w:id="796" w:name="_Toc29741"/>
      <w:bookmarkStart w:id="797" w:name="_Toc22301"/>
      <w:r>
        <w:rPr>
          <w:rFonts w:hint="eastAsia" w:ascii="宋体" w:hAnsi="宋体" w:cs="宋体"/>
          <w:b/>
          <w:bCs/>
          <w:sz w:val="21"/>
          <w:szCs w:val="21"/>
          <w:lang w:val="zh-CN"/>
        </w:rPr>
        <w:t>23</w:t>
      </w:r>
      <w:r>
        <w:rPr>
          <w:rFonts w:hint="eastAsia" w:ascii="宋体" w:hAnsi="宋体" w:cs="宋体"/>
          <w:b/>
          <w:bCs/>
          <w:sz w:val="21"/>
          <w:szCs w:val="21"/>
          <w:lang w:val="en-US" w:eastAsia="zh-CN"/>
        </w:rPr>
        <w:t>.</w:t>
      </w:r>
      <w:r>
        <w:rPr>
          <w:rFonts w:hint="eastAsia" w:ascii="宋体" w:hAnsi="宋体" w:cs="宋体"/>
          <w:b/>
          <w:bCs/>
          <w:sz w:val="21"/>
          <w:szCs w:val="21"/>
          <w:lang w:val="zh-CN"/>
        </w:rPr>
        <w:t>签订合同</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14:paraId="6A9899E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2</w:t>
      </w:r>
      <w:r>
        <w:rPr>
          <w:rFonts w:hint="eastAsia" w:ascii="宋体" w:hAnsi="宋体" w:cs="宋体"/>
          <w:kern w:val="0"/>
          <w:sz w:val="21"/>
          <w:szCs w:val="21"/>
        </w:rPr>
        <w:t>3</w:t>
      </w:r>
      <w:r>
        <w:rPr>
          <w:rFonts w:hint="eastAsia" w:ascii="宋体" w:hAnsi="宋体" w:cs="宋体"/>
          <w:kern w:val="0"/>
          <w:sz w:val="21"/>
          <w:szCs w:val="21"/>
          <w:lang w:val="zh-CN"/>
        </w:rPr>
        <w:t>.1</w:t>
      </w:r>
      <w:r>
        <w:rPr>
          <w:rFonts w:hint="eastAsia" w:ascii="宋体" w:hAnsi="宋体" w:cs="宋体"/>
          <w:kern w:val="0"/>
          <w:sz w:val="21"/>
          <w:szCs w:val="21"/>
        </w:rPr>
        <w:t xml:space="preserve"> 采购人应当自中标通知书发出后，在规定</w:t>
      </w:r>
      <w:r>
        <w:rPr>
          <w:rFonts w:hint="eastAsia" w:ascii="宋体" w:hAnsi="宋体" w:cs="宋体"/>
          <w:color w:val="000000" w:themeColor="text1"/>
          <w:kern w:val="0"/>
          <w:sz w:val="21"/>
          <w:szCs w:val="21"/>
          <w14:textFill>
            <w14:solidFill>
              <w14:schemeClr w14:val="tx1"/>
            </w14:solidFill>
          </w14:textFill>
        </w:rPr>
        <w:t>时间内（依据最新文件规定），按照招标文件和中标人投标文件的规定，与中标人签订书面合同。所签订的合同不得对招标文件确定</w:t>
      </w:r>
      <w:r>
        <w:rPr>
          <w:rFonts w:hint="eastAsia" w:ascii="宋体" w:hAnsi="宋体" w:cs="宋体"/>
          <w:kern w:val="0"/>
          <w:sz w:val="21"/>
          <w:szCs w:val="21"/>
        </w:rPr>
        <w:t>的事项和中标人投标文件作实质性修改。</w:t>
      </w:r>
    </w:p>
    <w:p w14:paraId="0C239E4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采购人不得向中标人提出任何不合理的要求作为签订合同的条件。</w:t>
      </w:r>
    </w:p>
    <w:p w14:paraId="42B18F05">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w:t>
      </w:r>
      <w:r>
        <w:rPr>
          <w:rFonts w:hint="eastAsia" w:ascii="宋体" w:hAnsi="宋体" w:cs="宋体"/>
          <w:kern w:val="0"/>
          <w:sz w:val="21"/>
          <w:szCs w:val="21"/>
        </w:rPr>
        <w:t>3</w:t>
      </w:r>
      <w:r>
        <w:rPr>
          <w:rFonts w:hint="eastAsia" w:ascii="宋体" w:hAnsi="宋体" w:cs="宋体"/>
          <w:kern w:val="0"/>
          <w:sz w:val="21"/>
          <w:szCs w:val="21"/>
          <w:lang w:val="zh-CN"/>
        </w:rPr>
        <w:t>.</w:t>
      </w:r>
      <w:r>
        <w:rPr>
          <w:rFonts w:hint="eastAsia" w:ascii="宋体" w:hAnsi="宋体" w:cs="宋体"/>
          <w:kern w:val="0"/>
          <w:sz w:val="21"/>
          <w:szCs w:val="21"/>
        </w:rPr>
        <w:t>2 中标人拒绝与采购人签订合同的</w:t>
      </w:r>
      <w:r>
        <w:rPr>
          <w:rFonts w:hint="eastAsia" w:ascii="宋体" w:hAnsi="宋体" w:cs="宋体"/>
          <w:kern w:val="0"/>
          <w:sz w:val="21"/>
          <w:szCs w:val="21"/>
          <w:lang w:val="zh-CN"/>
        </w:rPr>
        <w:t>，采购人可以按照评标报告推荐的中标候选人名单排序，确定下一候选人为中标人，以此类推，也可重新开展政府采购活动。</w:t>
      </w:r>
    </w:p>
    <w:p w14:paraId="3E25B78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w:t>
      </w:r>
      <w:r>
        <w:rPr>
          <w:rFonts w:hint="eastAsia" w:ascii="宋体" w:hAnsi="宋体" w:cs="宋体"/>
          <w:kern w:val="0"/>
          <w:sz w:val="21"/>
          <w:szCs w:val="21"/>
        </w:rPr>
        <w:t>3</w:t>
      </w:r>
      <w:r>
        <w:rPr>
          <w:rFonts w:hint="eastAsia" w:ascii="宋体" w:hAnsi="宋体" w:cs="宋体"/>
          <w:kern w:val="0"/>
          <w:sz w:val="21"/>
          <w:szCs w:val="21"/>
          <w:lang w:val="zh-CN"/>
        </w:rPr>
        <w:t>.</w:t>
      </w:r>
      <w:r>
        <w:rPr>
          <w:rFonts w:hint="eastAsia" w:ascii="宋体" w:hAnsi="宋体" w:cs="宋体"/>
          <w:kern w:val="0"/>
          <w:sz w:val="21"/>
          <w:szCs w:val="21"/>
        </w:rPr>
        <w:t xml:space="preserve">3 </w:t>
      </w:r>
      <w:r>
        <w:rPr>
          <w:rFonts w:hint="eastAsia" w:ascii="宋体" w:hAnsi="宋体" w:cs="宋体"/>
          <w:kern w:val="0"/>
          <w:sz w:val="21"/>
          <w:szCs w:val="21"/>
          <w:lang w:val="zh-CN"/>
        </w:rPr>
        <w:t>招标文件、中标人的投标文件、《中标通知书》及其澄清、说明文件、承诺等，均为签订采购合同的依据，作为采购合同的组成部分。</w:t>
      </w:r>
    </w:p>
    <w:p w14:paraId="18F92CC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23.4 采购人与中标人应当根据合同的约定依法履行合同义务。政府采购合同的履行、违约责任和解决争议的方法等适用《中华人民共和国民法典（合同编）》。</w:t>
      </w:r>
    </w:p>
    <w:p w14:paraId="50B0297D">
      <w:pPr>
        <w:autoSpaceDE w:val="0"/>
        <w:autoSpaceDN w:val="0"/>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23.5 采购人应当及时对采购项目进行验收。</w:t>
      </w:r>
    </w:p>
    <w:p w14:paraId="681A2A2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23.6 采购人应当加强对中标人的履约管理，并按照采购合同约定，及时向中标人支付采购资金。对于中标人违反采购合同约定的行为，采购人应当及时处理，依法追究其违约责任。</w:t>
      </w:r>
    </w:p>
    <w:p w14:paraId="2AB4220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23.7 采购人、采购代理机构应当建立真实完整的招标采购档案，妥善保存每项采购活动的招标文件。</w:t>
      </w:r>
    </w:p>
    <w:p w14:paraId="1ED58D73">
      <w:pPr>
        <w:pStyle w:val="5"/>
        <w:ind w:firstLine="422"/>
        <w:jc w:val="center"/>
        <w:rPr>
          <w:rFonts w:ascii="宋体" w:hAnsi="宋体" w:cs="宋体"/>
          <w:sz w:val="21"/>
          <w:szCs w:val="21"/>
          <w:lang w:val="zh-CN"/>
        </w:rPr>
      </w:pPr>
      <w:bookmarkStart w:id="798" w:name="_Toc8933_WPSOffice_Level2"/>
      <w:bookmarkStart w:id="799" w:name="_Toc17170"/>
      <w:bookmarkStart w:id="800" w:name="_Toc22510"/>
      <w:bookmarkStart w:id="801" w:name="_Toc6923"/>
      <w:bookmarkStart w:id="802" w:name="_Toc403"/>
      <w:bookmarkStart w:id="803" w:name="_Toc9633"/>
      <w:bookmarkStart w:id="804" w:name="_Toc3504"/>
      <w:bookmarkStart w:id="805" w:name="_Toc2984"/>
      <w:bookmarkStart w:id="806" w:name="_Toc12348"/>
      <w:bookmarkStart w:id="807" w:name="_Toc10796"/>
      <w:bookmarkStart w:id="808" w:name="_Toc6772"/>
      <w:bookmarkStart w:id="809" w:name="_Toc12910"/>
      <w:bookmarkStart w:id="810" w:name="_Toc22980"/>
      <w:bookmarkStart w:id="811" w:name="_Toc14621"/>
      <w:bookmarkStart w:id="812" w:name="_Toc8124"/>
      <w:bookmarkStart w:id="813" w:name="_Toc11220"/>
      <w:bookmarkStart w:id="814" w:name="_Toc19207"/>
      <w:bookmarkStart w:id="815" w:name="_Toc21273"/>
      <w:bookmarkStart w:id="816" w:name="_Toc8556"/>
      <w:bookmarkStart w:id="817" w:name="_Toc777"/>
      <w:bookmarkStart w:id="818" w:name="_Toc5516"/>
      <w:bookmarkStart w:id="819" w:name="_Toc4717"/>
      <w:bookmarkStart w:id="820" w:name="_Toc1376_WPSOffice_Level2"/>
      <w:bookmarkStart w:id="821" w:name="_Toc2027"/>
      <w:r>
        <w:rPr>
          <w:rFonts w:hint="eastAsia" w:ascii="宋体" w:hAnsi="宋体" w:cs="宋体"/>
          <w:sz w:val="21"/>
          <w:szCs w:val="21"/>
          <w:lang w:val="zh-CN"/>
        </w:rPr>
        <w:t>十、招标代理费</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674C9C17">
      <w:pPr>
        <w:autoSpaceDE w:val="0"/>
        <w:autoSpaceDN w:val="0"/>
        <w:spacing w:line="360" w:lineRule="auto"/>
        <w:ind w:firstLine="420" w:firstLineChars="200"/>
        <w:jc w:val="left"/>
        <w:rPr>
          <w:rFonts w:ascii="宋体" w:hAnsi="宋体" w:cs="宋体"/>
          <w:kern w:val="0"/>
          <w:sz w:val="21"/>
          <w:szCs w:val="21"/>
          <w:lang w:val="zh-CN"/>
        </w:rPr>
      </w:pPr>
      <w:r>
        <w:rPr>
          <w:rFonts w:hint="eastAsia" w:ascii="宋体" w:hAnsi="宋体" w:cs="宋体"/>
          <w:kern w:val="0"/>
          <w:sz w:val="21"/>
          <w:szCs w:val="21"/>
          <w:lang w:eastAsia="zh-CN"/>
        </w:rPr>
        <w:t>1.</w:t>
      </w:r>
      <w:r>
        <w:rPr>
          <w:rFonts w:hint="eastAsia" w:ascii="宋体" w:hAnsi="宋体" w:cs="宋体"/>
          <w:kern w:val="0"/>
          <w:sz w:val="21"/>
          <w:szCs w:val="21"/>
          <w:lang w:val="zh-CN"/>
        </w:rPr>
        <w:t>收取对象：中标人。</w:t>
      </w:r>
    </w:p>
    <w:p w14:paraId="368CBB31">
      <w:pPr>
        <w:autoSpaceDE w:val="0"/>
        <w:autoSpaceDN w:val="0"/>
        <w:spacing w:line="360" w:lineRule="auto"/>
        <w:ind w:firstLine="420" w:firstLineChars="200"/>
        <w:jc w:val="left"/>
        <w:rPr>
          <w:rFonts w:ascii="宋体" w:hAnsi="宋体" w:cs="宋体"/>
          <w:kern w:val="0"/>
          <w:sz w:val="21"/>
          <w:szCs w:val="21"/>
          <w:u w:val="dashDotDotHeavy"/>
          <w:lang w:val="zh-CN"/>
        </w:rPr>
      </w:pPr>
      <w:r>
        <w:rPr>
          <w:rFonts w:hint="eastAsia" w:ascii="宋体" w:hAnsi="宋体" w:cs="宋体"/>
          <w:kern w:val="0"/>
          <w:sz w:val="21"/>
          <w:szCs w:val="21"/>
          <w:lang w:eastAsia="zh-CN"/>
        </w:rPr>
        <w:t>2.</w:t>
      </w:r>
      <w:r>
        <w:rPr>
          <w:rFonts w:hint="eastAsia" w:ascii="宋体" w:hAnsi="宋体" w:cs="宋体"/>
          <w:kern w:val="0"/>
          <w:sz w:val="21"/>
          <w:szCs w:val="21"/>
          <w:lang w:val="zh-CN"/>
        </w:rPr>
        <w:t>收费金额：见投标人须知前附表。</w:t>
      </w:r>
    </w:p>
    <w:p w14:paraId="5B4D802B">
      <w:pPr>
        <w:pStyle w:val="5"/>
        <w:ind w:firstLine="422"/>
        <w:jc w:val="center"/>
        <w:rPr>
          <w:rFonts w:ascii="宋体" w:hAnsi="宋体" w:cs="宋体"/>
          <w:sz w:val="21"/>
          <w:szCs w:val="21"/>
          <w:lang w:val="zh-CN"/>
        </w:rPr>
      </w:pPr>
      <w:bookmarkStart w:id="822" w:name="_Toc2217"/>
      <w:bookmarkStart w:id="823" w:name="_Toc23130"/>
      <w:bookmarkStart w:id="824" w:name="_Toc26462"/>
      <w:bookmarkStart w:id="825" w:name="_Toc13882"/>
      <w:bookmarkStart w:id="826" w:name="_Toc10433"/>
      <w:bookmarkStart w:id="827" w:name="_Toc11481"/>
      <w:bookmarkStart w:id="828" w:name="_Toc6721"/>
      <w:bookmarkStart w:id="829" w:name="_Toc5852"/>
      <w:bookmarkStart w:id="830" w:name="_Toc5639"/>
      <w:bookmarkStart w:id="831" w:name="_Toc25955"/>
      <w:bookmarkStart w:id="832" w:name="_Toc32416"/>
      <w:bookmarkStart w:id="833" w:name="_Toc27873_WPSOffice_Level2"/>
      <w:bookmarkStart w:id="834" w:name="_Toc5731"/>
      <w:bookmarkStart w:id="835" w:name="_Toc28631"/>
      <w:bookmarkStart w:id="836" w:name="_Toc4801"/>
      <w:bookmarkStart w:id="837" w:name="_Toc27231"/>
      <w:bookmarkStart w:id="838" w:name="_Toc9000"/>
      <w:bookmarkStart w:id="839" w:name="_Toc31361"/>
      <w:bookmarkStart w:id="840" w:name="_Toc17505"/>
      <w:bookmarkStart w:id="841" w:name="_Toc4674"/>
      <w:bookmarkStart w:id="842" w:name="_Toc29784"/>
      <w:bookmarkStart w:id="843" w:name="_Toc10653"/>
      <w:bookmarkStart w:id="844" w:name="_Toc10971"/>
      <w:bookmarkStart w:id="845" w:name="_Toc3274_WPSOffice_Level2"/>
      <w:r>
        <w:rPr>
          <w:rFonts w:hint="eastAsia" w:ascii="宋体" w:hAnsi="宋体" w:cs="宋体"/>
          <w:sz w:val="21"/>
          <w:szCs w:val="21"/>
          <w:lang w:val="zh-CN"/>
        </w:rPr>
        <w:t>十一、其他</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p w14:paraId="1302381D">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eastAsia="zh-CN"/>
        </w:rPr>
        <w:t>1.</w:t>
      </w:r>
      <w:r>
        <w:rPr>
          <w:rFonts w:hint="eastAsia" w:ascii="宋体" w:hAnsi="宋体" w:cs="宋体"/>
          <w:kern w:val="0"/>
          <w:sz w:val="21"/>
          <w:szCs w:val="21"/>
        </w:rPr>
        <w:t>投标人应当遵循公平竞争的原则，不得恶意串通，不得妨碍其他投标人的竞争行为，不得损害采购人或者其他投标人的合法权益。</w:t>
      </w:r>
    </w:p>
    <w:p w14:paraId="3ECA342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在评标过程中发现投标人有上述情形的，评标委员会应当认定其投标无效，并书面报告本级监督部门。</w:t>
      </w:r>
    </w:p>
    <w:p w14:paraId="5756F09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eastAsia="zh-CN"/>
        </w:rPr>
        <w:t>2.</w:t>
      </w:r>
      <w:r>
        <w:rPr>
          <w:rFonts w:hint="eastAsia" w:ascii="宋体" w:hAnsi="宋体" w:cs="宋体"/>
          <w:kern w:val="0"/>
          <w:sz w:val="21"/>
          <w:szCs w:val="21"/>
        </w:rPr>
        <w:t>有下列情形之一的，视为投标人串通投标，其投标无效：</w:t>
      </w:r>
    </w:p>
    <w:p w14:paraId="3ADADF5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（1）不同投标人的投标文件由同一单位或者个人编制；</w:t>
      </w:r>
    </w:p>
    <w:p w14:paraId="17E9126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（2）不同投标人委托同一单位或者个人办理投标事宜；</w:t>
      </w:r>
    </w:p>
    <w:p w14:paraId="6A8F84C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（3）不同投标人的投标文件载明的项目管理成员或者联系人员为同一人；</w:t>
      </w:r>
    </w:p>
    <w:p w14:paraId="3E8E52CD">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（4）不同投标人的投标文件异常一致或者投标报价呈规律性差异；</w:t>
      </w:r>
    </w:p>
    <w:p w14:paraId="500BDEB2">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（5）不同投标人的投标文件相互混装；</w:t>
      </w:r>
    </w:p>
    <w:p w14:paraId="24DC435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（6）不同投标人的投标保证金从同一单位或者个人的账户转出。</w:t>
      </w:r>
    </w:p>
    <w:p w14:paraId="6FE0260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3、公开招标数额标准以上的采购项目，投标截止后投标人不足3家或者通过资格审查或符合性审查的投标人不足3家的，除采购任务取消情形外，按照以下方式处理：</w:t>
      </w:r>
    </w:p>
    <w:p w14:paraId="619B42C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（1）招标文件存在不合理条款或者招标程序不符合规定的，采购人、采购代理机构改正后依法重新招标；</w:t>
      </w:r>
    </w:p>
    <w:p w14:paraId="6893994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（2）招标文件没有不合理条款、招标程序符合规定，需要采用其他采购方式采购的，采购人应当依法报监督部门批准。</w:t>
      </w:r>
    </w:p>
    <w:p w14:paraId="0C1FC90E">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sz w:val="21"/>
          <w:szCs w:val="21"/>
          <w:lang w:eastAsia="zh-CN"/>
        </w:rPr>
        <w:t>4.</w:t>
      </w:r>
      <w:r>
        <w:rPr>
          <w:rFonts w:hint="eastAsia" w:ascii="宋体" w:hAnsi="宋体" w:cs="宋体"/>
          <w:kern w:val="0"/>
          <w:sz w:val="21"/>
          <w:szCs w:val="21"/>
          <w:lang w:val="zh-CN"/>
        </w:rPr>
        <w:t>在招标采购中，出现下列情形之一的，应予废标：</w:t>
      </w:r>
    </w:p>
    <w:p w14:paraId="0A8B5B0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（1）符合专业条件的投标人或者对招标文件作实质性响应的投标人不足三家的。</w:t>
      </w:r>
    </w:p>
    <w:p w14:paraId="7C54D01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（2）出现影响采购公正的违法、违规行为的。</w:t>
      </w:r>
    </w:p>
    <w:p w14:paraId="6F507E8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（3）投标人的报价均超出采购预算，采购人不能支付的。</w:t>
      </w:r>
    </w:p>
    <w:p w14:paraId="5D86735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（4）因重大变故，采购任务取消的。</w:t>
      </w:r>
    </w:p>
    <w:p w14:paraId="2A785D1C">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废标后，由采购代理机构发布废标公告。</w:t>
      </w:r>
    </w:p>
    <w:p w14:paraId="40C4C5D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eastAsia="zh-CN"/>
        </w:rPr>
        <w:t>5.</w:t>
      </w:r>
      <w:r>
        <w:rPr>
          <w:rFonts w:hint="eastAsia" w:ascii="宋体" w:hAnsi="宋体" w:cs="宋体"/>
          <w:kern w:val="0"/>
          <w:sz w:val="21"/>
          <w:szCs w:val="21"/>
        </w:rPr>
        <w:t>验收</w:t>
      </w:r>
    </w:p>
    <w:p w14:paraId="1C413B1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5.1、货物到达现场后，中标人应在使用单位人员在场情况下当面开箱，共同清点、检查外观，作出开箱记录，双方签字确认。</w:t>
      </w:r>
    </w:p>
    <w:p w14:paraId="0704266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5.2、中标人应保证货物到达采购人所在地完好无损，如有缺漏、损坏，由投标人负责调换、补齐或赔偿。</w:t>
      </w:r>
    </w:p>
    <w:p w14:paraId="7B39C6EF">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5.3、中标人应提供完备的技术资料、装箱单和合格证等，并派遣专业技术人员进行现场安装调试。验收合格条件如下：</w:t>
      </w:r>
    </w:p>
    <w:p w14:paraId="55369EE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（1）设备技术参数与采购合同一致，性能指标达到规定的标准。</w:t>
      </w:r>
    </w:p>
    <w:p w14:paraId="14E40633">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（2）货物技术资料、装箱单、合格证等资料齐全。</w:t>
      </w:r>
    </w:p>
    <w:p w14:paraId="6FAD020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（3）在系统试运行期间所出现的问题得到解决，并运行正常。</w:t>
      </w:r>
    </w:p>
    <w:p w14:paraId="4A347048">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（4）在规定时间内完成交货并验收，并经采购人确认。</w:t>
      </w:r>
    </w:p>
    <w:p w14:paraId="41527433">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5.4、产品在安装调试并试运行符合要求后，才作为最终验收。</w:t>
      </w:r>
    </w:p>
    <w:p w14:paraId="2787B62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5.5、中标人提供的货物未达到招标文件规定要求，且对采购人造成损失的，由中标人承担一切责任，并赔偿所造成的损失。</w:t>
      </w:r>
    </w:p>
    <w:p w14:paraId="12810934">
      <w:pPr>
        <w:autoSpaceDE w:val="0"/>
        <w:autoSpaceDN w:val="0"/>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5.6、大型或者复杂的政府采购项目，采购人</w:t>
      </w:r>
      <w:r>
        <w:rPr>
          <w:rFonts w:hint="eastAsia" w:ascii="宋体" w:hAnsi="宋体" w:cs="宋体"/>
          <w:kern w:val="0"/>
          <w:sz w:val="21"/>
          <w:szCs w:val="21"/>
          <w:lang w:val="en-US" w:eastAsia="zh-CN"/>
        </w:rPr>
        <w:t>可</w:t>
      </w:r>
      <w:r>
        <w:rPr>
          <w:rFonts w:hint="eastAsia" w:ascii="宋体" w:hAnsi="宋体" w:cs="宋体"/>
          <w:kern w:val="0"/>
          <w:sz w:val="21"/>
          <w:szCs w:val="21"/>
        </w:rPr>
        <w:t>邀请国家认可的质量检测机构参加验收工作。</w:t>
      </w:r>
    </w:p>
    <w:p w14:paraId="3D78ED8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5.7、采购人需要制造商对中标人交付的产品（包括质量、技术参数等）进行确认的，制造商应予以配合，并出具书面意见。</w:t>
      </w:r>
    </w:p>
    <w:p w14:paraId="6FD23492">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5.8、产品包装材料归采购人所有。</w:t>
      </w:r>
    </w:p>
    <w:p w14:paraId="02B4D70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6.其他未尽事宜，按照《中华人民共和国政府采购法》《中华人民共和国政府采购法实施条例》《中华人民共和国民法典（合同编）》等法律法规的有关条款执行。</w:t>
      </w:r>
    </w:p>
    <w:p w14:paraId="6F20080A">
      <w:pPr>
        <w:pStyle w:val="4"/>
        <w:ind w:firstLine="0" w:firstLineChars="0"/>
        <w:jc w:val="center"/>
        <w:rPr>
          <w:rFonts w:ascii="宋体" w:hAnsi="宋体" w:cs="宋体"/>
          <w:bCs/>
          <w:color w:val="auto"/>
          <w:sz w:val="36"/>
          <w:szCs w:val="36"/>
          <w:lang w:val="zh-CN"/>
        </w:rPr>
      </w:pPr>
      <w:r>
        <w:rPr>
          <w:rFonts w:hint="eastAsia" w:ascii="宋体" w:hAnsi="宋体" w:cs="宋体"/>
          <w:color w:val="auto"/>
          <w:szCs w:val="36"/>
          <w:lang w:val="zh-CN"/>
        </w:rPr>
        <w:br w:type="page"/>
      </w:r>
      <w:bookmarkStart w:id="846" w:name="_Toc2887"/>
      <w:bookmarkStart w:id="847" w:name="_Toc11531"/>
      <w:bookmarkStart w:id="848" w:name="_Toc4628_WPSOffice_Level1"/>
      <w:bookmarkStart w:id="849" w:name="_Toc13941"/>
      <w:bookmarkStart w:id="850" w:name="_Toc17366"/>
      <w:bookmarkStart w:id="851" w:name="_Toc11801"/>
      <w:bookmarkStart w:id="852" w:name="_Toc581"/>
      <w:bookmarkStart w:id="853" w:name="_Toc23619"/>
      <w:bookmarkStart w:id="854" w:name="_Toc5184"/>
      <w:bookmarkStart w:id="855" w:name="_Toc6687"/>
      <w:bookmarkStart w:id="856" w:name="_Toc1539"/>
      <w:bookmarkStart w:id="857" w:name="_Toc24573"/>
      <w:bookmarkStart w:id="858" w:name="_Toc19048"/>
      <w:bookmarkStart w:id="859" w:name="_Toc21152"/>
      <w:bookmarkStart w:id="860" w:name="_Toc7529"/>
      <w:bookmarkStart w:id="861" w:name="_Toc20789"/>
      <w:bookmarkStart w:id="862" w:name="_Toc118"/>
      <w:bookmarkStart w:id="863" w:name="_Toc29924"/>
      <w:bookmarkStart w:id="864" w:name="_Toc10581"/>
      <w:bookmarkStart w:id="865" w:name="_Toc4557"/>
      <w:bookmarkStart w:id="866" w:name="_Toc26962"/>
      <w:bookmarkStart w:id="867" w:name="_Toc6822"/>
      <w:bookmarkStart w:id="868" w:name="_Toc7284_WPSOffice_Level1"/>
      <w:bookmarkStart w:id="869" w:name="_Toc4410"/>
      <w:r>
        <w:rPr>
          <w:rFonts w:hint="eastAsia" w:ascii="宋体" w:hAnsi="宋体" w:cs="宋体"/>
          <w:bCs/>
          <w:color w:val="auto"/>
          <w:sz w:val="36"/>
          <w:szCs w:val="36"/>
          <w:lang w:val="zh-CN"/>
        </w:rPr>
        <w:t xml:space="preserve">第三部分  </w:t>
      </w:r>
      <w:bookmarkEnd w:id="846"/>
      <w:r>
        <w:rPr>
          <w:rFonts w:hint="eastAsia" w:ascii="宋体" w:hAnsi="宋体" w:cs="宋体"/>
          <w:bCs/>
          <w:color w:val="auto"/>
          <w:sz w:val="36"/>
          <w:szCs w:val="36"/>
          <w:lang w:val="zh-CN"/>
        </w:rPr>
        <w:t>合同条款</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p>
    <w:p w14:paraId="20C583E1">
      <w:pPr>
        <w:autoSpaceDE w:val="0"/>
        <w:autoSpaceDN w:val="0"/>
        <w:adjustRightInd w:val="0"/>
        <w:spacing w:line="360" w:lineRule="auto"/>
        <w:jc w:val="left"/>
        <w:rPr>
          <w:rFonts w:ascii="宋体" w:hAnsi="宋体" w:cs="宋体"/>
          <w:sz w:val="21"/>
          <w:szCs w:val="21"/>
        </w:rPr>
      </w:pPr>
    </w:p>
    <w:p w14:paraId="7629E228">
      <w:pPr>
        <w:autoSpaceDE w:val="0"/>
        <w:autoSpaceDN w:val="0"/>
        <w:adjustRightInd w:val="0"/>
        <w:spacing w:line="360" w:lineRule="auto"/>
        <w:jc w:val="left"/>
        <w:rPr>
          <w:rFonts w:ascii="宋体" w:hAnsi="宋体" w:cs="宋体"/>
          <w:sz w:val="21"/>
          <w:szCs w:val="21"/>
        </w:rPr>
      </w:pPr>
    </w:p>
    <w:p w14:paraId="59D56F60">
      <w:pPr>
        <w:spacing w:line="360" w:lineRule="auto"/>
        <w:jc w:val="center"/>
        <w:rPr>
          <w:rFonts w:hint="eastAsia" w:asciiTheme="minorEastAsia" w:hAnsiTheme="minorEastAsia" w:eastAsiaTheme="minorEastAsia" w:cstheme="minorEastAsia"/>
          <w:sz w:val="21"/>
          <w:szCs w:val="21"/>
        </w:rPr>
      </w:pPr>
      <w:bookmarkStart w:id="870" w:name="_Toc27858_WPSOffice_Level2"/>
      <w:bookmarkStart w:id="871" w:name="_Toc4956"/>
      <w:bookmarkStart w:id="872" w:name="_Toc30471"/>
      <w:bookmarkStart w:id="873" w:name="_Toc13331_WPSOffice_Level2"/>
      <w:bookmarkStart w:id="874" w:name="_Toc17485_WPSOffice_Level2"/>
      <w:bookmarkStart w:id="875" w:name="_Toc31094"/>
      <w:r>
        <w:rPr>
          <w:rFonts w:hint="eastAsia" w:asciiTheme="minorEastAsia" w:hAnsiTheme="minorEastAsia" w:eastAsiaTheme="minorEastAsia" w:cstheme="minorEastAsia"/>
          <w:sz w:val="21"/>
          <w:szCs w:val="21"/>
        </w:rPr>
        <w:t>（合同格式供参考，详细条款由采购人、中标人签订合同时约定。）</w:t>
      </w:r>
      <w:bookmarkEnd w:id="870"/>
      <w:bookmarkEnd w:id="871"/>
      <w:bookmarkEnd w:id="872"/>
      <w:bookmarkEnd w:id="873"/>
      <w:bookmarkEnd w:id="874"/>
      <w:bookmarkEnd w:id="875"/>
    </w:p>
    <w:p w14:paraId="57E6A3DA">
      <w:pPr>
        <w:pStyle w:val="26"/>
        <w:spacing w:before="0" w:after="0" w:line="360" w:lineRule="auto"/>
        <w:outlineLvl w:val="9"/>
        <w:rPr>
          <w:rFonts w:hint="eastAsia" w:asciiTheme="minorEastAsia" w:hAnsiTheme="minorEastAsia" w:eastAsiaTheme="minorEastAsia" w:cstheme="minorEastAsia"/>
          <w:b w:val="0"/>
          <w:sz w:val="21"/>
          <w:szCs w:val="21"/>
        </w:rPr>
      </w:pPr>
    </w:p>
    <w:p w14:paraId="0C0E6587">
      <w:pPr>
        <w:autoSpaceDE w:val="0"/>
        <w:autoSpaceDN w:val="0"/>
        <w:adjustRightInd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项目合同书</w:t>
      </w:r>
    </w:p>
    <w:p w14:paraId="5F02E6D3">
      <w:pPr>
        <w:autoSpaceDE w:val="0"/>
        <w:autoSpaceDN w:val="0"/>
        <w:adjustRightInd w:val="0"/>
        <w:spacing w:line="360" w:lineRule="auto"/>
        <w:rPr>
          <w:rFonts w:hint="eastAsia" w:asciiTheme="minorEastAsia" w:hAnsiTheme="minorEastAsia" w:eastAsiaTheme="minorEastAsia" w:cstheme="minorEastAsia"/>
          <w:sz w:val="21"/>
          <w:szCs w:val="21"/>
        </w:rPr>
      </w:pPr>
    </w:p>
    <w:p w14:paraId="4A65A1EA">
      <w:pPr>
        <w:autoSpaceDE w:val="0"/>
        <w:autoSpaceDN w:val="0"/>
        <w:adjustRightInd w:val="0"/>
        <w:spacing w:line="360" w:lineRule="auto"/>
        <w:rPr>
          <w:rFonts w:hint="eastAsia" w:asciiTheme="minorEastAsia" w:hAnsiTheme="minorEastAsia" w:eastAsiaTheme="minorEastAsia" w:cstheme="minorEastAsia"/>
          <w:sz w:val="21"/>
          <w:szCs w:val="21"/>
        </w:rPr>
      </w:pPr>
    </w:p>
    <w:p w14:paraId="7BB11458">
      <w:pPr>
        <w:autoSpaceDE w:val="0"/>
        <w:autoSpaceDN w:val="0"/>
        <w:adjustRightInd w:val="0"/>
        <w:spacing w:line="360" w:lineRule="auto"/>
        <w:rPr>
          <w:rFonts w:hint="eastAsia" w:asciiTheme="minorEastAsia" w:hAnsiTheme="minorEastAsia" w:eastAsiaTheme="minorEastAsia" w:cstheme="minorEastAsia"/>
          <w:sz w:val="21"/>
          <w:szCs w:val="21"/>
        </w:rPr>
      </w:pPr>
    </w:p>
    <w:p w14:paraId="323C9208">
      <w:pPr>
        <w:pStyle w:val="61"/>
        <w:spacing w:line="360" w:lineRule="auto"/>
        <w:rPr>
          <w:rFonts w:hint="eastAsia" w:asciiTheme="minorEastAsia" w:hAnsiTheme="minorEastAsia" w:eastAsiaTheme="minorEastAsia" w:cstheme="minorEastAsia"/>
          <w:color w:val="auto"/>
          <w:kern w:val="2"/>
          <w:sz w:val="21"/>
          <w:szCs w:val="21"/>
        </w:rPr>
      </w:pPr>
    </w:p>
    <w:p w14:paraId="2F927718">
      <w:pPr>
        <w:pStyle w:val="61"/>
        <w:spacing w:line="360" w:lineRule="auto"/>
        <w:rPr>
          <w:rFonts w:hint="eastAsia" w:asciiTheme="minorEastAsia" w:hAnsiTheme="minorEastAsia" w:eastAsiaTheme="minorEastAsia" w:cstheme="minorEastAsia"/>
          <w:color w:val="auto"/>
          <w:kern w:val="2"/>
          <w:sz w:val="21"/>
          <w:szCs w:val="21"/>
        </w:rPr>
      </w:pPr>
    </w:p>
    <w:p w14:paraId="0727189D">
      <w:pPr>
        <w:pStyle w:val="61"/>
        <w:spacing w:line="360" w:lineRule="auto"/>
        <w:rPr>
          <w:rFonts w:hint="eastAsia" w:asciiTheme="minorEastAsia" w:hAnsiTheme="minorEastAsia" w:eastAsiaTheme="minorEastAsia" w:cstheme="minorEastAsia"/>
          <w:color w:val="auto"/>
          <w:kern w:val="2"/>
          <w:sz w:val="21"/>
          <w:szCs w:val="21"/>
        </w:rPr>
      </w:pPr>
    </w:p>
    <w:p w14:paraId="1611E7E1">
      <w:pPr>
        <w:pStyle w:val="61"/>
        <w:spacing w:line="360" w:lineRule="auto"/>
        <w:rPr>
          <w:rFonts w:hint="eastAsia" w:asciiTheme="minorEastAsia" w:hAnsiTheme="minorEastAsia" w:eastAsiaTheme="minorEastAsia" w:cstheme="minorEastAsia"/>
          <w:color w:val="auto"/>
          <w:kern w:val="2"/>
          <w:sz w:val="21"/>
          <w:szCs w:val="21"/>
        </w:rPr>
      </w:pPr>
    </w:p>
    <w:p w14:paraId="7C1F1E99">
      <w:pPr>
        <w:pStyle w:val="61"/>
        <w:spacing w:line="360" w:lineRule="auto"/>
        <w:rPr>
          <w:rFonts w:hint="eastAsia" w:asciiTheme="minorEastAsia" w:hAnsiTheme="minorEastAsia" w:eastAsiaTheme="minorEastAsia" w:cstheme="minorEastAsia"/>
          <w:color w:val="auto"/>
          <w:kern w:val="2"/>
          <w:sz w:val="21"/>
          <w:szCs w:val="21"/>
        </w:rPr>
      </w:pPr>
    </w:p>
    <w:p w14:paraId="3BE72455">
      <w:pPr>
        <w:pStyle w:val="61"/>
        <w:spacing w:line="360" w:lineRule="auto"/>
        <w:rPr>
          <w:rFonts w:hint="eastAsia" w:asciiTheme="minorEastAsia" w:hAnsiTheme="minorEastAsia" w:eastAsiaTheme="minorEastAsia" w:cstheme="minorEastAsia"/>
          <w:color w:val="auto"/>
          <w:kern w:val="2"/>
          <w:sz w:val="21"/>
          <w:szCs w:val="21"/>
        </w:rPr>
      </w:pPr>
    </w:p>
    <w:p w14:paraId="3855E513">
      <w:pPr>
        <w:pStyle w:val="61"/>
        <w:spacing w:line="360" w:lineRule="auto"/>
        <w:rPr>
          <w:rFonts w:hint="eastAsia" w:asciiTheme="minorEastAsia" w:hAnsiTheme="minorEastAsia" w:eastAsiaTheme="minorEastAsia" w:cstheme="minorEastAsia"/>
          <w:color w:val="auto"/>
          <w:kern w:val="2"/>
          <w:sz w:val="21"/>
          <w:szCs w:val="21"/>
        </w:rPr>
      </w:pPr>
    </w:p>
    <w:p w14:paraId="0467D74E">
      <w:pPr>
        <w:autoSpaceDE w:val="0"/>
        <w:autoSpaceDN w:val="0"/>
        <w:adjustRightInd w:val="0"/>
        <w:spacing w:line="360" w:lineRule="auto"/>
        <w:rPr>
          <w:rFonts w:hint="eastAsia" w:asciiTheme="minorEastAsia" w:hAnsiTheme="minorEastAsia" w:eastAsiaTheme="minorEastAsia" w:cstheme="minorEastAsia"/>
          <w:sz w:val="21"/>
          <w:szCs w:val="21"/>
        </w:rPr>
      </w:pPr>
    </w:p>
    <w:p w14:paraId="5E687AB6">
      <w:pPr>
        <w:autoSpaceDE w:val="0"/>
        <w:autoSpaceDN w:val="0"/>
        <w:adjustRightInd w:val="0"/>
        <w:spacing w:line="360" w:lineRule="auto"/>
        <w:rPr>
          <w:rFonts w:hint="eastAsia" w:asciiTheme="minorEastAsia" w:hAnsiTheme="minorEastAsia" w:eastAsiaTheme="minorEastAsia" w:cstheme="minorEastAsia"/>
          <w:sz w:val="21"/>
          <w:szCs w:val="21"/>
        </w:rPr>
      </w:pPr>
    </w:p>
    <w:p w14:paraId="3C854767">
      <w:pPr>
        <w:autoSpaceDE w:val="0"/>
        <w:autoSpaceDN w:val="0"/>
        <w:adjustRightInd w:val="0"/>
        <w:spacing w:line="360" w:lineRule="auto"/>
        <w:rPr>
          <w:rFonts w:hint="eastAsia" w:asciiTheme="minorEastAsia" w:hAnsiTheme="minorEastAsia" w:eastAsiaTheme="minorEastAsia" w:cstheme="minorEastAsia"/>
          <w:sz w:val="21"/>
          <w:szCs w:val="21"/>
        </w:rPr>
      </w:pPr>
    </w:p>
    <w:p w14:paraId="79816FBD">
      <w:pPr>
        <w:autoSpaceDE w:val="0"/>
        <w:autoSpaceDN w:val="0"/>
        <w:adjustRightInd w:val="0"/>
        <w:spacing w:line="360" w:lineRule="auto"/>
        <w:rPr>
          <w:rFonts w:hint="eastAsia" w:asciiTheme="minorEastAsia" w:hAnsiTheme="minorEastAsia" w:eastAsiaTheme="minorEastAsia" w:cstheme="minorEastAsia"/>
          <w:sz w:val="21"/>
          <w:szCs w:val="21"/>
        </w:rPr>
      </w:pPr>
    </w:p>
    <w:p w14:paraId="62CD9305">
      <w:pPr>
        <w:autoSpaceDE w:val="0"/>
        <w:autoSpaceDN w:val="0"/>
        <w:adjustRightInd w:val="0"/>
        <w:spacing w:line="360" w:lineRule="auto"/>
        <w:rPr>
          <w:rFonts w:hint="eastAsia" w:asciiTheme="minorEastAsia" w:hAnsiTheme="minorEastAsia" w:eastAsiaTheme="minorEastAsia" w:cstheme="minorEastAsia"/>
          <w:sz w:val="21"/>
          <w:szCs w:val="21"/>
        </w:rPr>
      </w:pPr>
    </w:p>
    <w:p w14:paraId="0993629E">
      <w:pPr>
        <w:autoSpaceDE w:val="0"/>
        <w:autoSpaceDN w:val="0"/>
        <w:adjustRightInd w:val="0"/>
        <w:spacing w:line="360" w:lineRule="auto"/>
        <w:rPr>
          <w:rFonts w:hint="eastAsia" w:asciiTheme="minorEastAsia" w:hAnsiTheme="minorEastAsia" w:eastAsiaTheme="minorEastAsia" w:cstheme="minorEastAsia"/>
          <w:sz w:val="21"/>
          <w:szCs w:val="21"/>
        </w:rPr>
      </w:pPr>
    </w:p>
    <w:p w14:paraId="5554826F">
      <w:pPr>
        <w:autoSpaceDE w:val="0"/>
        <w:autoSpaceDN w:val="0"/>
        <w:adjustRightInd w:val="0"/>
        <w:spacing w:line="360" w:lineRule="auto"/>
        <w:rPr>
          <w:rFonts w:hint="eastAsia" w:asciiTheme="minorEastAsia" w:hAnsiTheme="minorEastAsia" w:eastAsiaTheme="minorEastAsia" w:cstheme="minorEastAsia"/>
          <w:sz w:val="21"/>
          <w:szCs w:val="21"/>
        </w:rPr>
      </w:pPr>
    </w:p>
    <w:p w14:paraId="2170908E">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76" w:name="_Toc26699"/>
      <w:bookmarkStart w:id="877" w:name="_Toc27780_WPSOffice_Level3"/>
      <w:r>
        <w:rPr>
          <w:rFonts w:hint="eastAsia" w:asciiTheme="minorEastAsia" w:hAnsiTheme="minorEastAsia" w:eastAsiaTheme="minorEastAsia" w:cstheme="minorEastAsia"/>
          <w:sz w:val="21"/>
          <w:szCs w:val="21"/>
        </w:rPr>
        <w:t>政府采购项目编号：</w:t>
      </w:r>
      <w:bookmarkEnd w:id="876"/>
      <w:bookmarkEnd w:id="877"/>
      <w:r>
        <w:rPr>
          <w:rFonts w:hint="eastAsia" w:asciiTheme="minorEastAsia" w:hAnsiTheme="minorEastAsia" w:eastAsiaTheme="minorEastAsia" w:cstheme="minorEastAsia"/>
          <w:sz w:val="21"/>
          <w:szCs w:val="21"/>
          <w:u w:val="single"/>
        </w:rPr>
        <w:t xml:space="preserve">                                              </w:t>
      </w:r>
    </w:p>
    <w:p w14:paraId="06A48E91">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u w:val="single"/>
        </w:rPr>
      </w:pPr>
      <w:bookmarkStart w:id="878" w:name="_Toc14618"/>
      <w:bookmarkStart w:id="879" w:name="_Toc25576_WPSOffice_Level3"/>
      <w:r>
        <w:rPr>
          <w:rFonts w:hint="eastAsia" w:asciiTheme="minorEastAsia" w:hAnsiTheme="minorEastAsia" w:eastAsiaTheme="minorEastAsia" w:cstheme="minorEastAsia"/>
          <w:sz w:val="21"/>
          <w:szCs w:val="21"/>
        </w:rPr>
        <w:t>项目名称：</w:t>
      </w:r>
      <w:bookmarkEnd w:id="878"/>
      <w:bookmarkEnd w:id="879"/>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平顶山市卫东区教育体育局教学一体机设备采购项目</w:t>
      </w:r>
      <w:r>
        <w:rPr>
          <w:rFonts w:hint="eastAsia" w:asciiTheme="minorEastAsia" w:hAnsiTheme="minorEastAsia" w:eastAsiaTheme="minorEastAsia" w:cstheme="minorEastAsia"/>
          <w:sz w:val="21"/>
          <w:szCs w:val="21"/>
          <w:u w:val="single"/>
        </w:rPr>
        <w:t xml:space="preserve">   </w:t>
      </w:r>
    </w:p>
    <w:p w14:paraId="4CB17A76">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u w:val="single"/>
        </w:rPr>
      </w:pPr>
      <w:bookmarkStart w:id="880" w:name="_Toc20156"/>
      <w:bookmarkStart w:id="881" w:name="_Toc10913_WPSOffice_Level3"/>
      <w:r>
        <w:rPr>
          <w:rFonts w:hint="eastAsia" w:asciiTheme="minorEastAsia" w:hAnsiTheme="minorEastAsia" w:eastAsiaTheme="minorEastAsia" w:cstheme="minorEastAsia"/>
          <w:sz w:val="21"/>
          <w:szCs w:val="21"/>
        </w:rPr>
        <w:t>合同金额（人民币）：</w:t>
      </w:r>
      <w:bookmarkEnd w:id="880"/>
      <w:bookmarkEnd w:id="881"/>
      <w:r>
        <w:rPr>
          <w:rFonts w:hint="eastAsia" w:asciiTheme="minorEastAsia" w:hAnsiTheme="minorEastAsia" w:eastAsiaTheme="minorEastAsia" w:cstheme="minorEastAsia"/>
          <w:sz w:val="21"/>
          <w:szCs w:val="21"/>
          <w:u w:val="single"/>
        </w:rPr>
        <w:t xml:space="preserve">                                 </w:t>
      </w:r>
    </w:p>
    <w:p w14:paraId="425E9DF1">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82" w:name="_Toc23698_WPSOffice_Level3"/>
      <w:bookmarkStart w:id="883" w:name="_Toc9785"/>
      <w:r>
        <w:rPr>
          <w:rFonts w:hint="eastAsia" w:asciiTheme="minorEastAsia" w:hAnsiTheme="minorEastAsia" w:eastAsiaTheme="minorEastAsia" w:cstheme="minorEastAsia"/>
          <w:sz w:val="21"/>
          <w:szCs w:val="21"/>
        </w:rPr>
        <w:t>采购人（甲方）：</w:t>
      </w:r>
      <w:r>
        <w:rPr>
          <w:rFonts w:hint="eastAsia" w:asciiTheme="minorEastAsia" w:hAnsiTheme="minorEastAsia" w:eastAsiaTheme="minorEastAsia" w:cstheme="minorEastAsia"/>
          <w:sz w:val="21"/>
          <w:szCs w:val="21"/>
          <w:u w:val="single"/>
        </w:rPr>
        <w:t xml:space="preserve">     平顶山市卫东区教育体育局     </w:t>
      </w:r>
      <w:r>
        <w:rPr>
          <w:rFonts w:hint="eastAsia" w:asciiTheme="minorEastAsia" w:hAnsiTheme="minorEastAsia" w:eastAsiaTheme="minorEastAsia" w:cstheme="minorEastAsia"/>
          <w:sz w:val="21"/>
          <w:szCs w:val="21"/>
        </w:rPr>
        <w:t>（盖章）</w:t>
      </w:r>
      <w:bookmarkEnd w:id="882"/>
      <w:bookmarkEnd w:id="883"/>
    </w:p>
    <w:p w14:paraId="0F3377E2">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84" w:name="_Toc26018_WPSOffice_Level3"/>
      <w:bookmarkStart w:id="885" w:name="_Toc2752"/>
      <w:r>
        <w:rPr>
          <w:rFonts w:hint="eastAsia" w:asciiTheme="minorEastAsia" w:hAnsiTheme="minorEastAsia" w:eastAsiaTheme="minorEastAsia" w:cstheme="minorEastAsia"/>
          <w:sz w:val="21"/>
          <w:szCs w:val="21"/>
        </w:rPr>
        <w:t>中标人（乙方）：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（盖章）</w:t>
      </w:r>
      <w:bookmarkEnd w:id="884"/>
      <w:bookmarkEnd w:id="885"/>
    </w:p>
    <w:p w14:paraId="0743FD88">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86" w:name="_Toc28577"/>
      <w:bookmarkStart w:id="887" w:name="_Toc20796_WPSOffice_Level3"/>
      <w:r>
        <w:rPr>
          <w:rFonts w:hint="eastAsia" w:asciiTheme="minorEastAsia" w:hAnsiTheme="minorEastAsia" w:eastAsiaTheme="minorEastAsia" w:cstheme="minorEastAsia"/>
          <w:sz w:val="21"/>
          <w:szCs w:val="21"/>
          <w:lang w:val="en-US" w:eastAsia="zh-CN"/>
        </w:rPr>
        <w:t>签订</w:t>
      </w:r>
      <w:r>
        <w:rPr>
          <w:rFonts w:hint="eastAsia" w:asciiTheme="minorEastAsia" w:hAnsiTheme="minorEastAsia" w:eastAsiaTheme="minorEastAsia" w:cstheme="minorEastAsia"/>
          <w:sz w:val="21"/>
          <w:szCs w:val="21"/>
        </w:rPr>
        <w:t>日期：</w:t>
      </w:r>
      <w:bookmarkEnd w:id="886"/>
      <w:bookmarkEnd w:id="887"/>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u w:val="single"/>
        </w:rPr>
        <w:t xml:space="preserve">          202</w:t>
      </w:r>
      <w:r>
        <w:rPr>
          <w:rFonts w:hint="eastAsia" w:asciiTheme="minorEastAsia" w:hAnsiTheme="minorEastAsia" w:eastAsiaTheme="minorEastAsia" w:cstheme="minorEastAsia"/>
          <w:sz w:val="21"/>
          <w:szCs w:val="21"/>
          <w:u w:val="single"/>
          <w:lang w:val="en-US" w:eastAsia="zh-CN"/>
        </w:rPr>
        <w:t>6</w:t>
      </w:r>
      <w:r>
        <w:rPr>
          <w:rFonts w:hint="eastAsia" w:asciiTheme="minorEastAsia" w:hAnsiTheme="minorEastAsia" w:eastAsiaTheme="minorEastAsia" w:cstheme="minorEastAsia"/>
          <w:sz w:val="21"/>
          <w:szCs w:val="21"/>
          <w:u w:val="single"/>
        </w:rPr>
        <w:t xml:space="preserve">年   月    日         </w:t>
      </w:r>
      <w:r>
        <w:rPr>
          <w:rFonts w:hint="eastAsia" w:asciiTheme="minorEastAsia" w:hAnsiTheme="minorEastAsia" w:eastAsiaTheme="minorEastAsia" w:cstheme="minorEastAsia"/>
          <w:sz w:val="21"/>
          <w:szCs w:val="21"/>
        </w:rPr>
        <w:t xml:space="preserve"> </w:t>
      </w:r>
    </w:p>
    <w:p w14:paraId="1B2ECB91">
      <w:pPr>
        <w:autoSpaceDE w:val="0"/>
        <w:autoSpaceDN w:val="0"/>
        <w:adjustRightInd w:val="0"/>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r>
      <w:r>
        <w:rPr>
          <w:rFonts w:hint="eastAsia" w:asciiTheme="minorEastAsia" w:hAnsiTheme="minorEastAsia" w:eastAsiaTheme="minorEastAsia" w:cstheme="minorEastAsia"/>
          <w:sz w:val="21"/>
          <w:szCs w:val="21"/>
        </w:rPr>
        <w:t>采购人（以下简称甲方）：</w:t>
      </w:r>
      <w:r>
        <w:rPr>
          <w:rFonts w:hint="eastAsia" w:asciiTheme="minorEastAsia" w:hAnsiTheme="minorEastAsia" w:eastAsiaTheme="minorEastAsia" w:cstheme="minorEastAsia"/>
          <w:sz w:val="21"/>
          <w:szCs w:val="21"/>
          <w:lang w:val="en-US" w:eastAsia="zh-CN"/>
        </w:rPr>
        <w:t>平顶山市卫东区教育体育局</w:t>
      </w:r>
    </w:p>
    <w:p w14:paraId="75D3E930">
      <w:pPr>
        <w:autoSpaceDE w:val="0"/>
        <w:autoSpaceDN w:val="0"/>
        <w:adjustRightInd w:val="0"/>
        <w:spacing w:line="360" w:lineRule="auto"/>
        <w:rPr>
          <w:rFonts w:hint="eastAsia" w:asciiTheme="minorEastAsia" w:hAnsiTheme="minorEastAsia" w:eastAsiaTheme="minorEastAsia" w:cstheme="minorEastAsia"/>
          <w:sz w:val="21"/>
          <w:szCs w:val="21"/>
        </w:rPr>
      </w:pPr>
      <w:bookmarkStart w:id="888" w:name="_Toc4033_WPSOffice_Level3"/>
      <w:bookmarkStart w:id="889" w:name="_Toc20301"/>
      <w:r>
        <w:rPr>
          <w:rFonts w:hint="eastAsia" w:asciiTheme="minorEastAsia" w:hAnsiTheme="minorEastAsia" w:eastAsiaTheme="minorEastAsia" w:cstheme="minorEastAsia"/>
          <w:sz w:val="21"/>
          <w:szCs w:val="21"/>
        </w:rPr>
        <w:t>中标人（以下简称乙方）：</w:t>
      </w:r>
      <w:bookmarkEnd w:id="888"/>
      <w:bookmarkEnd w:id="889"/>
    </w:p>
    <w:p w14:paraId="113D28F8">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甲、乙双方根据《中华人民共和国政府采购法》《中华人民共和国民法典（合同编）》</w:t>
      </w:r>
      <w:r>
        <w:rPr>
          <w:rFonts w:hint="eastAsia" w:asciiTheme="minorEastAsia" w:hAnsiTheme="minorEastAsia" w:eastAsiaTheme="minorEastAsia" w:cstheme="minorEastAsia"/>
          <w:sz w:val="21"/>
          <w:szCs w:val="21"/>
          <w:lang w:val="en-US" w:eastAsia="zh-CN"/>
        </w:rPr>
        <w:t>等相关法律法规</w:t>
      </w:r>
      <w:r>
        <w:rPr>
          <w:rFonts w:hint="eastAsia" w:asciiTheme="minorEastAsia" w:hAnsiTheme="minorEastAsia" w:eastAsiaTheme="minorEastAsia" w:cstheme="minorEastAsia"/>
          <w:sz w:val="21"/>
          <w:szCs w:val="21"/>
        </w:rPr>
        <w:t>和本次</w:t>
      </w:r>
      <w:r>
        <w:rPr>
          <w:rFonts w:hint="eastAsia" w:asciiTheme="minorEastAsia" w:hAnsiTheme="minorEastAsia" w:eastAsiaTheme="minorEastAsia" w:cstheme="minorEastAsia"/>
          <w:sz w:val="21"/>
          <w:szCs w:val="21"/>
          <w:u w:val="single"/>
          <w:lang w:val="en-US" w:eastAsia="zh-CN"/>
        </w:rPr>
        <w:t xml:space="preserve">  平顶山市卫东区教育体育局教学一体机设备采购项目</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（政府采购项目编号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文件要求和采购人、采购代理机构出具的《</w:t>
      </w:r>
      <w:r>
        <w:rPr>
          <w:rFonts w:hint="eastAsia" w:asciiTheme="minorEastAsia" w:hAnsiTheme="minorEastAsia" w:eastAsiaTheme="minorEastAsia" w:cstheme="minorEastAsia"/>
          <w:sz w:val="21"/>
          <w:szCs w:val="21"/>
          <w:lang w:val="en-US" w:eastAsia="zh-CN"/>
        </w:rPr>
        <w:t>中标</w:t>
      </w:r>
      <w:r>
        <w:rPr>
          <w:rFonts w:hint="eastAsia" w:asciiTheme="minorEastAsia" w:hAnsiTheme="minorEastAsia" w:eastAsiaTheme="minorEastAsia" w:cstheme="minorEastAsia"/>
          <w:sz w:val="21"/>
          <w:szCs w:val="21"/>
        </w:rPr>
        <w:t>通知书》，并经双方协商一致，签订本合同协议书。</w:t>
      </w:r>
    </w:p>
    <w:p w14:paraId="55C417DB">
      <w:pPr>
        <w:autoSpaceDE w:val="0"/>
        <w:autoSpaceDN w:val="0"/>
        <w:spacing w:line="360" w:lineRule="auto"/>
        <w:rPr>
          <w:rFonts w:hint="eastAsia" w:asciiTheme="minorEastAsia" w:hAnsiTheme="minorEastAsia" w:eastAsiaTheme="minorEastAsia" w:cstheme="minorEastAsia"/>
          <w:sz w:val="21"/>
          <w:szCs w:val="21"/>
        </w:rPr>
      </w:pPr>
      <w:bookmarkStart w:id="890" w:name="_Toc20264_WPSOffice_Level3"/>
      <w:bookmarkStart w:id="891" w:name="_Toc29772"/>
      <w:r>
        <w:rPr>
          <w:rFonts w:hint="eastAsia" w:asciiTheme="minorEastAsia" w:hAnsiTheme="minorEastAsia" w:eastAsiaTheme="minorEastAsia" w:cstheme="minorEastAsia"/>
          <w:sz w:val="21"/>
          <w:szCs w:val="21"/>
        </w:rPr>
        <w:t>一、签订本采购合同的依据</w:t>
      </w:r>
      <w:bookmarkEnd w:id="890"/>
      <w:bookmarkEnd w:id="891"/>
    </w:p>
    <w:p w14:paraId="19AF273F">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本采购合同所附下列文件是构成本采购合同不可分割的部分：</w:t>
      </w:r>
    </w:p>
    <w:p w14:paraId="42B793DC">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w:t>
      </w:r>
    </w:p>
    <w:p w14:paraId="04AF8FA4">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文件的澄清、变更公告；</w:t>
      </w:r>
    </w:p>
    <w:p w14:paraId="66C25F86">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lang w:val="en-US" w:eastAsia="zh-CN"/>
        </w:rPr>
        <w:t>中标</w:t>
      </w:r>
      <w:r>
        <w:rPr>
          <w:rFonts w:hint="eastAsia" w:asciiTheme="minorEastAsia" w:hAnsiTheme="minorEastAsia" w:eastAsiaTheme="minorEastAsia" w:cstheme="minorEastAsia"/>
          <w:sz w:val="21"/>
          <w:szCs w:val="21"/>
        </w:rPr>
        <w:t>人提交的</w:t>
      </w:r>
      <w:r>
        <w:rPr>
          <w:rFonts w:hint="eastAsia" w:asciiTheme="minorEastAsia" w:hAnsiTheme="minorEastAsia" w:eastAsiaTheme="minorEastAsia" w:cstheme="minorEastAsia"/>
          <w:sz w:val="21"/>
          <w:szCs w:val="21"/>
          <w:lang w:val="en-US" w:eastAsia="zh-CN"/>
        </w:rPr>
        <w:t>投标文件</w:t>
      </w:r>
      <w:r>
        <w:rPr>
          <w:rFonts w:hint="eastAsia" w:asciiTheme="minorEastAsia" w:hAnsiTheme="minorEastAsia" w:eastAsiaTheme="minorEastAsia" w:cstheme="minorEastAsia"/>
          <w:sz w:val="21"/>
          <w:szCs w:val="21"/>
        </w:rPr>
        <w:t>文件；</w:t>
      </w:r>
    </w:p>
    <w:p w14:paraId="3A509F49">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文件中规定的政府采购合同通用条款；</w:t>
      </w:r>
    </w:p>
    <w:p w14:paraId="68C2154D">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lang w:val="en-US" w:eastAsia="zh-CN"/>
        </w:rPr>
        <w:t>中标</w:t>
      </w:r>
      <w:r>
        <w:rPr>
          <w:rFonts w:hint="eastAsia" w:asciiTheme="minorEastAsia" w:hAnsiTheme="minorEastAsia" w:eastAsiaTheme="minorEastAsia" w:cstheme="minorEastAsia"/>
          <w:sz w:val="21"/>
          <w:szCs w:val="21"/>
        </w:rPr>
        <w:t>通知书。</w:t>
      </w:r>
    </w:p>
    <w:p w14:paraId="051496F1">
      <w:pPr>
        <w:autoSpaceDE w:val="0"/>
        <w:autoSpaceDN w:val="0"/>
        <w:spacing w:line="360" w:lineRule="auto"/>
        <w:rPr>
          <w:rFonts w:hint="eastAsia" w:asciiTheme="minorEastAsia" w:hAnsiTheme="minorEastAsia" w:eastAsiaTheme="minorEastAsia" w:cstheme="minorEastAsia"/>
          <w:sz w:val="21"/>
          <w:szCs w:val="21"/>
        </w:rPr>
      </w:pPr>
      <w:bookmarkStart w:id="892" w:name="_Toc25406_WPSOffice_Level3"/>
      <w:bookmarkStart w:id="893" w:name="_Toc11383"/>
      <w:r>
        <w:rPr>
          <w:rFonts w:hint="eastAsia" w:asciiTheme="minorEastAsia" w:hAnsiTheme="minorEastAsia" w:eastAsiaTheme="minorEastAsia" w:cstheme="minorEastAsia"/>
          <w:sz w:val="21"/>
          <w:szCs w:val="21"/>
        </w:rPr>
        <w:t>二、合同标的及金额                                                               单位：元</w:t>
      </w:r>
      <w:bookmarkEnd w:id="892"/>
      <w:bookmarkEnd w:id="893"/>
    </w:p>
    <w:tbl>
      <w:tblPr>
        <w:tblStyle w:val="29"/>
        <w:tblW w:w="5000" w:type="pct"/>
        <w:jc w:val="center"/>
        <w:tblLayout w:type="autofit"/>
        <w:tblCellMar>
          <w:top w:w="0" w:type="dxa"/>
          <w:left w:w="28" w:type="dxa"/>
          <w:bottom w:w="0" w:type="dxa"/>
          <w:right w:w="28" w:type="dxa"/>
        </w:tblCellMar>
      </w:tblPr>
      <w:tblGrid>
        <w:gridCol w:w="709"/>
        <w:gridCol w:w="1767"/>
        <w:gridCol w:w="1205"/>
        <w:gridCol w:w="858"/>
        <w:gridCol w:w="1476"/>
        <w:gridCol w:w="1053"/>
        <w:gridCol w:w="799"/>
        <w:gridCol w:w="940"/>
        <w:gridCol w:w="938"/>
      </w:tblGrid>
      <w:tr w14:paraId="6D3F8367">
        <w:tblPrEx>
          <w:tblCellMar>
            <w:top w:w="0" w:type="dxa"/>
            <w:left w:w="28" w:type="dxa"/>
            <w:bottom w:w="0" w:type="dxa"/>
            <w:right w:w="28" w:type="dxa"/>
          </w:tblCellMar>
        </w:tblPrEx>
        <w:trPr>
          <w:trHeight w:val="23" w:hRule="atLeast"/>
          <w:jc w:val="center"/>
        </w:trPr>
        <w:tc>
          <w:tcPr>
            <w:tcW w:w="364" w:type="pct"/>
            <w:tcBorders>
              <w:top w:val="single" w:color="000000" w:sz="8" w:space="0"/>
              <w:left w:val="single" w:color="000000" w:sz="8" w:space="0"/>
              <w:bottom w:val="single" w:color="000000" w:sz="6" w:space="0"/>
              <w:right w:val="single" w:color="000000" w:sz="6" w:space="0"/>
            </w:tcBorders>
            <w:noWrap w:val="0"/>
            <w:vAlign w:val="center"/>
          </w:tcPr>
          <w:p w14:paraId="543581B2">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907" w:type="pct"/>
            <w:tcBorders>
              <w:top w:val="single" w:color="000000" w:sz="8" w:space="0"/>
              <w:left w:val="single" w:color="000000" w:sz="6" w:space="0"/>
              <w:bottom w:val="single" w:color="000000" w:sz="6" w:space="0"/>
              <w:right w:val="single" w:color="000000" w:sz="6" w:space="0"/>
            </w:tcBorders>
            <w:noWrap w:val="0"/>
            <w:vAlign w:val="center"/>
          </w:tcPr>
          <w:p w14:paraId="0B9F1EB5">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产品名称</w:t>
            </w:r>
          </w:p>
        </w:tc>
        <w:tc>
          <w:tcPr>
            <w:tcW w:w="618" w:type="pct"/>
            <w:tcBorders>
              <w:top w:val="single" w:color="000000" w:sz="8" w:space="0"/>
              <w:left w:val="single" w:color="000000" w:sz="6" w:space="0"/>
              <w:bottom w:val="single" w:color="000000" w:sz="6" w:space="0"/>
              <w:right w:val="single" w:color="000000" w:sz="6" w:space="0"/>
            </w:tcBorders>
            <w:noWrap w:val="0"/>
            <w:vAlign w:val="center"/>
          </w:tcPr>
          <w:p w14:paraId="54CE103C">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品牌</w:t>
            </w:r>
          </w:p>
        </w:tc>
        <w:tc>
          <w:tcPr>
            <w:tcW w:w="440" w:type="pct"/>
            <w:tcBorders>
              <w:top w:val="single" w:color="000000" w:sz="8" w:space="0"/>
              <w:left w:val="single" w:color="000000" w:sz="6" w:space="0"/>
              <w:bottom w:val="single" w:color="000000" w:sz="6" w:space="0"/>
              <w:right w:val="single" w:color="000000" w:sz="6" w:space="0"/>
            </w:tcBorders>
            <w:noWrap w:val="0"/>
            <w:vAlign w:val="center"/>
          </w:tcPr>
          <w:p w14:paraId="6DCDB084">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规格</w:t>
            </w:r>
          </w:p>
          <w:p w14:paraId="327EE459">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型号</w:t>
            </w:r>
          </w:p>
        </w:tc>
        <w:tc>
          <w:tcPr>
            <w:tcW w:w="757" w:type="pct"/>
            <w:tcBorders>
              <w:top w:val="single" w:color="000000" w:sz="8" w:space="0"/>
              <w:left w:val="single" w:color="000000" w:sz="6" w:space="0"/>
              <w:bottom w:val="single" w:color="000000" w:sz="6" w:space="0"/>
              <w:right w:val="single" w:color="000000" w:sz="6" w:space="0"/>
            </w:tcBorders>
            <w:noWrap w:val="0"/>
            <w:vAlign w:val="center"/>
          </w:tcPr>
          <w:p w14:paraId="2E28D871">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制造商</w:t>
            </w:r>
          </w:p>
        </w:tc>
        <w:tc>
          <w:tcPr>
            <w:tcW w:w="540" w:type="pct"/>
            <w:tcBorders>
              <w:top w:val="single" w:color="000000" w:sz="8" w:space="0"/>
              <w:left w:val="single" w:color="000000" w:sz="6" w:space="0"/>
              <w:bottom w:val="single" w:color="000000" w:sz="6" w:space="0"/>
              <w:right w:val="single" w:color="000000" w:sz="6" w:space="0"/>
            </w:tcBorders>
            <w:noWrap w:val="0"/>
            <w:vAlign w:val="center"/>
          </w:tcPr>
          <w:p w14:paraId="4D95270E">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数量及</w:t>
            </w:r>
          </w:p>
          <w:p w14:paraId="2A939033">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w:t>
            </w:r>
          </w:p>
        </w:tc>
        <w:tc>
          <w:tcPr>
            <w:tcW w:w="410" w:type="pct"/>
            <w:tcBorders>
              <w:top w:val="single" w:color="000000" w:sz="8" w:space="0"/>
              <w:left w:val="single" w:color="000000" w:sz="6" w:space="0"/>
              <w:bottom w:val="single" w:color="000000" w:sz="6" w:space="0"/>
              <w:right w:val="single" w:color="000000" w:sz="6" w:space="0"/>
            </w:tcBorders>
            <w:noWrap w:val="0"/>
            <w:vAlign w:val="center"/>
          </w:tcPr>
          <w:p w14:paraId="0AEB7310">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单价</w:t>
            </w:r>
          </w:p>
        </w:tc>
        <w:tc>
          <w:tcPr>
            <w:tcW w:w="482" w:type="pct"/>
            <w:tcBorders>
              <w:top w:val="single" w:color="000000" w:sz="8" w:space="0"/>
              <w:left w:val="single" w:color="000000" w:sz="6" w:space="0"/>
              <w:bottom w:val="single" w:color="000000" w:sz="6" w:space="0"/>
              <w:right w:val="single" w:color="000000" w:sz="6" w:space="0"/>
            </w:tcBorders>
            <w:noWrap w:val="0"/>
            <w:vAlign w:val="center"/>
          </w:tcPr>
          <w:p w14:paraId="70717362">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合计</w:t>
            </w:r>
          </w:p>
        </w:tc>
        <w:tc>
          <w:tcPr>
            <w:tcW w:w="481" w:type="pct"/>
            <w:tcBorders>
              <w:top w:val="single" w:color="000000" w:sz="8" w:space="0"/>
              <w:left w:val="single" w:color="000000" w:sz="6" w:space="0"/>
              <w:bottom w:val="single" w:color="000000" w:sz="6" w:space="0"/>
              <w:right w:val="single" w:color="000000" w:sz="8" w:space="0"/>
            </w:tcBorders>
            <w:noWrap w:val="0"/>
            <w:vAlign w:val="center"/>
          </w:tcPr>
          <w:p w14:paraId="74412884">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免费</w:t>
            </w:r>
          </w:p>
          <w:p w14:paraId="77441E9E">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质保期</w:t>
            </w:r>
          </w:p>
        </w:tc>
      </w:tr>
      <w:tr w14:paraId="2371ACAF">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31AE6C84">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4F19E9F9">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466CA2E7">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0A0A19EA">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2134E7C3">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25E69685">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31823248">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737E20EA">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1A092065">
            <w:pPr>
              <w:autoSpaceDE w:val="0"/>
              <w:autoSpaceDN w:val="0"/>
              <w:spacing w:line="360" w:lineRule="auto"/>
              <w:jc w:val="center"/>
              <w:rPr>
                <w:rFonts w:hint="eastAsia" w:asciiTheme="minorEastAsia" w:hAnsiTheme="minorEastAsia" w:eastAsiaTheme="minorEastAsia" w:cstheme="minorEastAsia"/>
                <w:sz w:val="21"/>
                <w:szCs w:val="21"/>
              </w:rPr>
            </w:pPr>
          </w:p>
        </w:tc>
      </w:tr>
      <w:tr w14:paraId="516E0584">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6D2702FD">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31437EE1">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73A484A8">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3106609D">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52A88268">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290D0D70">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38D1E206">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18E95CD9">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0F20963E">
            <w:pPr>
              <w:autoSpaceDE w:val="0"/>
              <w:autoSpaceDN w:val="0"/>
              <w:spacing w:line="360" w:lineRule="auto"/>
              <w:jc w:val="center"/>
              <w:rPr>
                <w:rFonts w:hint="eastAsia" w:asciiTheme="minorEastAsia" w:hAnsiTheme="minorEastAsia" w:eastAsiaTheme="minorEastAsia" w:cstheme="minorEastAsia"/>
                <w:sz w:val="21"/>
                <w:szCs w:val="21"/>
              </w:rPr>
            </w:pPr>
          </w:p>
        </w:tc>
      </w:tr>
      <w:tr w14:paraId="7363B797">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2E9FBDA7">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4B737C13">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57FAEB5A">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721B0573">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0808FA7E">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2A16864A">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5043AC29">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21E80ABD">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33FF7775">
            <w:pPr>
              <w:autoSpaceDE w:val="0"/>
              <w:autoSpaceDN w:val="0"/>
              <w:spacing w:line="360" w:lineRule="auto"/>
              <w:jc w:val="center"/>
              <w:rPr>
                <w:rFonts w:hint="eastAsia" w:asciiTheme="minorEastAsia" w:hAnsiTheme="minorEastAsia" w:eastAsiaTheme="minorEastAsia" w:cstheme="minorEastAsia"/>
                <w:sz w:val="21"/>
                <w:szCs w:val="21"/>
              </w:rPr>
            </w:pPr>
          </w:p>
        </w:tc>
      </w:tr>
      <w:tr w14:paraId="7D9E624A">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5158E366">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7582F2CA">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1A98482F">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231D7C2C">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44EEE5AE">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1019F0DD">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6AED3D91">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4222BA4A">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68578DA6">
            <w:pPr>
              <w:autoSpaceDE w:val="0"/>
              <w:autoSpaceDN w:val="0"/>
              <w:spacing w:line="360" w:lineRule="auto"/>
              <w:jc w:val="center"/>
              <w:rPr>
                <w:rFonts w:hint="eastAsia" w:asciiTheme="minorEastAsia" w:hAnsiTheme="minorEastAsia" w:eastAsiaTheme="minorEastAsia" w:cstheme="minorEastAsia"/>
                <w:sz w:val="21"/>
                <w:szCs w:val="21"/>
              </w:rPr>
            </w:pPr>
          </w:p>
        </w:tc>
      </w:tr>
    </w:tbl>
    <w:p w14:paraId="3E3DCDC2">
      <w:pPr>
        <w:autoSpaceDE w:val="0"/>
        <w:autoSpaceDN w:val="0"/>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根据上述采购合同文件要求，本采购合同的总金额为人民币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（大写）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元。</w:t>
      </w:r>
    </w:p>
    <w:p w14:paraId="27291F51">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本合同以人民币进行结算，合同总价包括：产品费、验收费、手续费、包装费、运输费、保险费、安装费、调试费、培训费、售前、售中、售后服务费、税金及不可预见费等全部费用。</w:t>
      </w:r>
    </w:p>
    <w:p w14:paraId="51D841B6">
      <w:pPr>
        <w:autoSpaceDE w:val="0"/>
        <w:autoSpaceDN w:val="0"/>
        <w:spacing w:line="360" w:lineRule="auto"/>
        <w:rPr>
          <w:rFonts w:hint="eastAsia" w:asciiTheme="minorEastAsia" w:hAnsiTheme="minorEastAsia" w:eastAsiaTheme="minorEastAsia" w:cstheme="minorEastAsia"/>
          <w:sz w:val="21"/>
          <w:szCs w:val="21"/>
        </w:rPr>
      </w:pPr>
      <w:bookmarkStart w:id="894" w:name="_Toc9868_WPSOffice_Level3"/>
      <w:bookmarkStart w:id="895" w:name="_Toc29937"/>
      <w:r>
        <w:rPr>
          <w:rFonts w:hint="eastAsia" w:asciiTheme="minorEastAsia" w:hAnsiTheme="minorEastAsia" w:eastAsiaTheme="minorEastAsia" w:cstheme="minorEastAsia"/>
          <w:sz w:val="21"/>
          <w:szCs w:val="21"/>
        </w:rPr>
        <w:t>三、交付时间、地点和要求</w:t>
      </w:r>
      <w:bookmarkEnd w:id="894"/>
      <w:bookmarkEnd w:id="895"/>
    </w:p>
    <w:p w14:paraId="1B6C1224">
      <w:pPr>
        <w:autoSpaceDE w:val="0"/>
        <w:autoSpaceDN w:val="0"/>
        <w:spacing w:line="360" w:lineRule="auto"/>
        <w:ind w:firstLine="36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1、交货及安装期：</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；交货地点：</w:t>
      </w:r>
      <w:r>
        <w:rPr>
          <w:rFonts w:hint="eastAsia" w:asciiTheme="minorEastAsia" w:hAnsiTheme="minorEastAsia" w:eastAsiaTheme="minorEastAsia" w:cstheme="minorEastAsia"/>
          <w:color w:val="auto"/>
          <w:sz w:val="21"/>
          <w:szCs w:val="21"/>
          <w:u w:val="single"/>
        </w:rPr>
        <w:t xml:space="preserve">  采购人指定地点  </w:t>
      </w:r>
      <w:r>
        <w:rPr>
          <w:rFonts w:hint="eastAsia" w:asciiTheme="minorEastAsia" w:hAnsiTheme="minorEastAsia" w:eastAsiaTheme="minorEastAsia" w:cstheme="minorEastAsia"/>
          <w:color w:val="auto"/>
          <w:sz w:val="21"/>
          <w:szCs w:val="21"/>
        </w:rPr>
        <w:t>。</w:t>
      </w:r>
    </w:p>
    <w:p w14:paraId="6E47BC45">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2、乙方提供不符合招投标文件和本合同规定的产品，甲方有权拒绝接受。</w:t>
      </w:r>
    </w:p>
    <w:p w14:paraId="6729190F">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3、乙方应将提供产品的装箱清单、用户手册、原厂保修卡、随机资料、工具和备品、备件等交付给甲方。</w:t>
      </w:r>
    </w:p>
    <w:p w14:paraId="1BAFCF14">
      <w:pPr>
        <w:autoSpaceDE w:val="0"/>
        <w:autoSpaceDN w:val="0"/>
        <w:spacing w:line="360" w:lineRule="auto"/>
        <w:ind w:firstLine="360"/>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4、甲方应当在到货（安装、调试完）后及时组织验收,乙方支付验收费用。验收后，出具产品验收报告，甲乙双方各执一份</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乙方负责项目学校旧设备的拆除任务。</w:t>
      </w:r>
    </w:p>
    <w:p w14:paraId="20D1A380">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5、甲方在验收过程中发现乙方有违约问题，可按招、投标文件的规定要求乙方及时予以解决。</w:t>
      </w:r>
    </w:p>
    <w:p w14:paraId="2A626EA2">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6、乙方向甲方提供产品相关完税销售发票。</w:t>
      </w:r>
    </w:p>
    <w:p w14:paraId="676DBAA6">
      <w:pPr>
        <w:autoSpaceDE w:val="0"/>
        <w:autoSpaceDN w:val="0"/>
        <w:spacing w:line="360" w:lineRule="auto"/>
        <w:rPr>
          <w:rFonts w:hint="eastAsia" w:asciiTheme="minorEastAsia" w:hAnsiTheme="minorEastAsia" w:eastAsiaTheme="minorEastAsia" w:cstheme="minorEastAsia"/>
          <w:bCs/>
          <w:color w:val="auto"/>
          <w:sz w:val="21"/>
          <w:szCs w:val="21"/>
          <w:u w:val="single"/>
        </w:rPr>
      </w:pPr>
      <w:bookmarkStart w:id="896" w:name="_Toc15012_WPSOffice_Level3"/>
      <w:bookmarkStart w:id="897" w:name="_Toc21826"/>
      <w:r>
        <w:rPr>
          <w:rFonts w:hint="eastAsia" w:asciiTheme="minorEastAsia" w:hAnsiTheme="minorEastAsia" w:eastAsiaTheme="minorEastAsia" w:cstheme="minorEastAsia"/>
          <w:bCs/>
          <w:color w:val="auto"/>
          <w:sz w:val="21"/>
          <w:szCs w:val="21"/>
        </w:rPr>
        <w:t>四、付款方式</w:t>
      </w:r>
      <w:bookmarkEnd w:id="896"/>
      <w:bookmarkEnd w:id="897"/>
      <w:r>
        <w:rPr>
          <w:rFonts w:hint="eastAsia" w:asciiTheme="minorEastAsia" w:hAnsiTheme="minorEastAsia" w:eastAsiaTheme="minorEastAsia" w:cstheme="minorEastAsia"/>
          <w:bCs/>
          <w:color w:val="auto"/>
          <w:sz w:val="21"/>
          <w:szCs w:val="21"/>
        </w:rPr>
        <w:t>：</w:t>
      </w:r>
      <w:r>
        <w:rPr>
          <w:rFonts w:hint="eastAsia" w:asciiTheme="minorEastAsia" w:hAnsiTheme="minorEastAsia" w:eastAsiaTheme="minorEastAsia" w:cstheme="minorEastAsia"/>
          <w:bCs/>
          <w:color w:val="auto"/>
          <w:sz w:val="21"/>
          <w:szCs w:val="21"/>
          <w:u w:val="single"/>
          <w:lang w:val="en-US" w:eastAsia="zh-CN"/>
        </w:rPr>
        <w:t>供货安装调试完毕</w:t>
      </w:r>
      <w:r>
        <w:rPr>
          <w:rFonts w:hint="eastAsia" w:asciiTheme="minorEastAsia" w:hAnsiTheme="minorEastAsia" w:eastAsiaTheme="minorEastAsia" w:cstheme="minorEastAsia"/>
          <w:bCs/>
          <w:color w:val="auto"/>
          <w:sz w:val="21"/>
          <w:szCs w:val="21"/>
          <w:u w:val="single"/>
        </w:rPr>
        <w:t>，</w:t>
      </w:r>
      <w:r>
        <w:rPr>
          <w:rFonts w:hint="eastAsia" w:asciiTheme="minorEastAsia" w:hAnsiTheme="minorEastAsia" w:eastAsiaTheme="minorEastAsia" w:cstheme="minorEastAsia"/>
          <w:bCs/>
          <w:color w:val="auto"/>
          <w:sz w:val="21"/>
          <w:szCs w:val="21"/>
          <w:u w:val="single"/>
          <w:lang w:val="en-US" w:eastAsia="zh-CN"/>
        </w:rPr>
        <w:t>经验收合格后</w:t>
      </w:r>
      <w:r>
        <w:rPr>
          <w:rFonts w:hint="eastAsia" w:asciiTheme="minorEastAsia" w:hAnsiTheme="minorEastAsia" w:eastAsiaTheme="minorEastAsia" w:cstheme="minorEastAsia"/>
          <w:bCs/>
          <w:color w:val="auto"/>
          <w:sz w:val="21"/>
          <w:szCs w:val="21"/>
          <w:u w:val="single"/>
        </w:rPr>
        <w:t>一次性</w:t>
      </w:r>
      <w:r>
        <w:rPr>
          <w:rFonts w:hint="eastAsia" w:asciiTheme="minorEastAsia" w:hAnsiTheme="minorEastAsia" w:eastAsiaTheme="minorEastAsia" w:cstheme="minorEastAsia"/>
          <w:bCs/>
          <w:color w:val="auto"/>
          <w:sz w:val="21"/>
          <w:szCs w:val="21"/>
          <w:u w:val="single"/>
          <w:lang w:val="en-US" w:eastAsia="zh-CN"/>
        </w:rPr>
        <w:t>支付</w:t>
      </w:r>
      <w:r>
        <w:rPr>
          <w:rFonts w:hint="eastAsia" w:asciiTheme="minorEastAsia" w:hAnsiTheme="minorEastAsia" w:eastAsiaTheme="minorEastAsia" w:cstheme="minorEastAsia"/>
          <w:bCs/>
          <w:color w:val="auto"/>
          <w:sz w:val="21"/>
          <w:szCs w:val="21"/>
          <w:u w:val="single"/>
        </w:rPr>
        <w:t>合同款项。</w:t>
      </w:r>
    </w:p>
    <w:p w14:paraId="095EB14D">
      <w:pPr>
        <w:autoSpaceDE w:val="0"/>
        <w:autoSpaceDN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五、售后服务</w:t>
      </w:r>
    </w:p>
    <w:p w14:paraId="533051A8">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1、免费质保期：</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3年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p>
    <w:p w14:paraId="241295D4">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2、乙方严格按照</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文件中售后服务承诺进行售后服务；</w:t>
      </w:r>
    </w:p>
    <w:p w14:paraId="67A25DEF">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3、乙方负责对项目学校进行设备使用培训；</w:t>
      </w:r>
    </w:p>
    <w:p w14:paraId="08B023A1">
      <w:pPr>
        <w:pStyle w:val="52"/>
        <w:ind w:firstLine="0" w:firstLineChars="0"/>
        <w:rPr>
          <w:rFonts w:hint="eastAsia" w:asciiTheme="minorEastAsia" w:hAnsiTheme="minorEastAsia" w:eastAsiaTheme="minorEastAsia" w:cstheme="minorEastAsia"/>
          <w:sz w:val="21"/>
          <w:szCs w:val="21"/>
        </w:rPr>
      </w:pPr>
      <w:bookmarkStart w:id="898" w:name="_Toc8453"/>
      <w:bookmarkStart w:id="899" w:name="_Toc3653_WPSOffice_Level3"/>
      <w:r>
        <w:rPr>
          <w:rFonts w:hint="eastAsia" w:asciiTheme="minorEastAsia" w:hAnsiTheme="minorEastAsia" w:eastAsiaTheme="minorEastAsia" w:cstheme="minorEastAsia"/>
          <w:sz w:val="21"/>
          <w:szCs w:val="21"/>
        </w:rPr>
        <w:t>六、合同的变更、终止与转让</w:t>
      </w:r>
      <w:bookmarkEnd w:id="898"/>
      <w:bookmarkEnd w:id="899"/>
    </w:p>
    <w:p w14:paraId="2D4CBAF3">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1、除《中华人民共和国政府采购法》第50条规定的情形外，本合同一经签订，甲乙双方不得擅自变更、中止或终止。</w:t>
      </w:r>
    </w:p>
    <w:p w14:paraId="12C360D3">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2、乙方不得擅自转让其应履行的合同义务。</w:t>
      </w:r>
    </w:p>
    <w:p w14:paraId="26A98CD8">
      <w:pPr>
        <w:autoSpaceDE w:val="0"/>
        <w:autoSpaceDN w:val="0"/>
        <w:spacing w:line="360" w:lineRule="auto"/>
        <w:rPr>
          <w:rFonts w:hint="eastAsia" w:asciiTheme="minorEastAsia" w:hAnsiTheme="minorEastAsia" w:eastAsiaTheme="minorEastAsia" w:cstheme="minorEastAsia"/>
          <w:sz w:val="21"/>
          <w:szCs w:val="21"/>
        </w:rPr>
      </w:pPr>
      <w:bookmarkStart w:id="900" w:name="_Toc27080"/>
      <w:bookmarkStart w:id="901" w:name="_Toc9681_WPSOffice_Level3"/>
      <w:r>
        <w:rPr>
          <w:rFonts w:hint="eastAsia" w:asciiTheme="minorEastAsia" w:hAnsiTheme="minorEastAsia" w:eastAsiaTheme="minorEastAsia" w:cstheme="minorEastAsia"/>
          <w:sz w:val="21"/>
          <w:szCs w:val="21"/>
        </w:rPr>
        <w:t>七、违约责任</w:t>
      </w:r>
      <w:bookmarkEnd w:id="900"/>
      <w:bookmarkEnd w:id="901"/>
    </w:p>
    <w:p w14:paraId="02C976B0">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1、乙方所提供的产品规格、技术标准、材料等质量不合格的，应及时更换；因质量问题甲方不同意接收的，由乙方赔偿由此引起的甲方的一切经济损失。</w:t>
      </w:r>
    </w:p>
    <w:p w14:paraId="14CD4246">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2、乙方提供的产品如侵犯了第三方权益而引发纠纷或诉讼的，均由乙方负责交涉并承担全部责任。</w:t>
      </w:r>
    </w:p>
    <w:p w14:paraId="2F5D4046">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3、因包装、运输引起的产品损坏，由乙方负责。</w:t>
      </w:r>
    </w:p>
    <w:p w14:paraId="7F9E0DAA">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4、甲方无故延期接受产品和乙方逾期交货的，每天应向对方偿付未交产品的货款3‰的违约金，但违约金累计不得超过违约货款的5%，超过 30 天对方有权解除合同，违约方承担因此给对方造成的经济损失。</w:t>
      </w:r>
    </w:p>
    <w:p w14:paraId="19A9ADE3">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5、乙方未按本合同和投标文件中规定的服务承诺提供售后服务的，乙方应按本合同合计金额的1%向甲方支付违约金。</w:t>
      </w:r>
    </w:p>
    <w:p w14:paraId="25ADBAAA">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6、乙方提供的产品在质量保证期内，因设计、工艺或材料的缺陷和其它质量原因造成的问题，由乙方负责</w:t>
      </w:r>
      <w:r>
        <w:rPr>
          <w:rFonts w:hint="eastAsia" w:ascii="宋体" w:hAnsi="宋体" w:eastAsia="宋体" w:cs="宋体"/>
          <w:sz w:val="21"/>
          <w:szCs w:val="21"/>
          <w:lang w:eastAsia="zh-CN"/>
        </w:rPr>
        <w:t>调换或维修，收到报修信息后</w:t>
      </w:r>
      <w:r>
        <w:rPr>
          <w:rFonts w:hint="eastAsia" w:ascii="宋体" w:hAnsi="宋体" w:eastAsia="宋体" w:cs="宋体"/>
          <w:sz w:val="21"/>
          <w:szCs w:val="21"/>
          <w:lang w:val="en-US" w:eastAsia="zh-CN"/>
        </w:rPr>
        <w:t>4天内处理完故障</w:t>
      </w:r>
      <w:r>
        <w:rPr>
          <w:rFonts w:hint="eastAsia" w:asciiTheme="minorEastAsia" w:hAnsiTheme="minorEastAsia" w:eastAsiaTheme="minorEastAsia" w:cstheme="minorEastAsia"/>
          <w:sz w:val="21"/>
          <w:szCs w:val="21"/>
        </w:rPr>
        <w:t>。</w:t>
      </w:r>
    </w:p>
    <w:p w14:paraId="3F16C346">
      <w:pPr>
        <w:autoSpaceDE w:val="0"/>
        <w:autoSpaceDN w:val="0"/>
        <w:spacing w:line="360" w:lineRule="auto"/>
        <w:rPr>
          <w:rFonts w:hint="eastAsia" w:asciiTheme="minorEastAsia" w:hAnsiTheme="minorEastAsia" w:eastAsiaTheme="minorEastAsia" w:cstheme="minorEastAsia"/>
          <w:sz w:val="21"/>
          <w:szCs w:val="21"/>
        </w:rPr>
      </w:pPr>
      <w:bookmarkStart w:id="902" w:name="_Toc8527_WPSOffice_Level3"/>
      <w:bookmarkStart w:id="903" w:name="_Toc29901"/>
      <w:r>
        <w:rPr>
          <w:rFonts w:hint="eastAsia" w:asciiTheme="minorEastAsia" w:hAnsiTheme="minorEastAsia" w:eastAsiaTheme="minorEastAsia" w:cstheme="minorEastAsia"/>
          <w:sz w:val="21"/>
          <w:szCs w:val="21"/>
        </w:rPr>
        <w:t>八、不可抗力</w:t>
      </w:r>
      <w:bookmarkEnd w:id="902"/>
      <w:bookmarkEnd w:id="903"/>
    </w:p>
    <w:p w14:paraId="11EC0D81">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不可抗力使合同的某些内容有变更必要的，双方应通过协商在 20 天内达成进一步履行合同的协议，因不可抗力致使合同不能履行的，合同终止。</w:t>
      </w:r>
    </w:p>
    <w:p w14:paraId="62A32B70">
      <w:pPr>
        <w:autoSpaceDE w:val="0"/>
        <w:autoSpaceDN w:val="0"/>
        <w:spacing w:line="360" w:lineRule="auto"/>
        <w:rPr>
          <w:rFonts w:hint="eastAsia" w:asciiTheme="minorEastAsia" w:hAnsiTheme="minorEastAsia" w:eastAsiaTheme="minorEastAsia" w:cstheme="minorEastAsia"/>
          <w:sz w:val="21"/>
          <w:szCs w:val="21"/>
        </w:rPr>
      </w:pPr>
      <w:bookmarkStart w:id="904" w:name="_Toc18672"/>
      <w:bookmarkStart w:id="905" w:name="_Toc2226_WPSOffice_Level3"/>
      <w:r>
        <w:rPr>
          <w:rFonts w:hint="eastAsia" w:asciiTheme="minorEastAsia" w:hAnsiTheme="minorEastAsia" w:eastAsiaTheme="minorEastAsia" w:cstheme="minorEastAsia"/>
          <w:sz w:val="21"/>
          <w:szCs w:val="21"/>
        </w:rPr>
        <w:t>九、其他约定：</w:t>
      </w:r>
      <w:bookmarkEnd w:id="904"/>
      <w:bookmarkEnd w:id="905"/>
      <w:r>
        <w:rPr>
          <w:rFonts w:hint="eastAsia" w:asciiTheme="minorEastAsia" w:hAnsiTheme="minorEastAsia" w:eastAsiaTheme="minorEastAsia" w:cstheme="minorEastAsia"/>
          <w:sz w:val="21"/>
          <w:szCs w:val="21"/>
          <w:u w:val="single"/>
        </w:rPr>
        <w:t xml:space="preserve">   无    </w:t>
      </w:r>
    </w:p>
    <w:p w14:paraId="79667F35">
      <w:pPr>
        <w:autoSpaceDE w:val="0"/>
        <w:autoSpaceDN w:val="0"/>
        <w:spacing w:line="360" w:lineRule="auto"/>
        <w:rPr>
          <w:rFonts w:hint="eastAsia" w:asciiTheme="minorEastAsia" w:hAnsiTheme="minorEastAsia" w:eastAsiaTheme="minorEastAsia" w:cstheme="minorEastAsia"/>
          <w:sz w:val="21"/>
          <w:szCs w:val="21"/>
        </w:rPr>
      </w:pPr>
      <w:bookmarkStart w:id="906" w:name="_Toc22814"/>
      <w:bookmarkStart w:id="907" w:name="_Toc15637_WPSOffice_Level3"/>
      <w:r>
        <w:rPr>
          <w:rFonts w:hint="eastAsia" w:asciiTheme="minorEastAsia" w:hAnsiTheme="minorEastAsia" w:eastAsiaTheme="minorEastAsia" w:cstheme="minorEastAsia"/>
          <w:sz w:val="21"/>
          <w:szCs w:val="21"/>
        </w:rPr>
        <w:t>十、合同争议解决</w:t>
      </w:r>
      <w:bookmarkEnd w:id="906"/>
      <w:bookmarkEnd w:id="907"/>
    </w:p>
    <w:p w14:paraId="2919A958">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因履行本合同引起的或与本合同有关的争议，甲乙双方应首先通过友好协商解决，如果协商不能解决，可向甲方所在地仲裁委员会申请仲裁或向甲方所在地人民法院提起诉讼。</w:t>
      </w:r>
    </w:p>
    <w:p w14:paraId="1E1997E5">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诉讼期间，本合同继续履行。</w:t>
      </w:r>
    </w:p>
    <w:p w14:paraId="53F575F9">
      <w:pPr>
        <w:autoSpaceDE w:val="0"/>
        <w:autoSpaceDN w:val="0"/>
        <w:spacing w:line="360" w:lineRule="auto"/>
        <w:ind w:firstLine="360"/>
        <w:rPr>
          <w:rFonts w:hint="eastAsia" w:asciiTheme="minorEastAsia" w:hAnsiTheme="minorEastAsia" w:eastAsiaTheme="minorEastAsia" w:cstheme="minorEastAsia"/>
          <w:sz w:val="21"/>
          <w:szCs w:val="21"/>
        </w:rPr>
      </w:pPr>
    </w:p>
    <w:p w14:paraId="603B0AF2">
      <w:pPr>
        <w:autoSpaceDE w:val="0"/>
        <w:autoSpaceDN w:val="0"/>
        <w:spacing w:line="360" w:lineRule="auto"/>
        <w:rPr>
          <w:rFonts w:hint="eastAsia" w:asciiTheme="minorEastAsia" w:hAnsiTheme="minorEastAsia" w:eastAsiaTheme="minorEastAsia" w:cstheme="minorEastAsia"/>
          <w:sz w:val="21"/>
          <w:szCs w:val="21"/>
        </w:rPr>
      </w:pPr>
      <w:bookmarkStart w:id="908" w:name="_Toc10175"/>
      <w:bookmarkStart w:id="909" w:name="_Toc15915_WPSOffice_Level3"/>
      <w:r>
        <w:rPr>
          <w:rFonts w:hint="eastAsia" w:asciiTheme="minorEastAsia" w:hAnsiTheme="minorEastAsia" w:eastAsiaTheme="minorEastAsia" w:cstheme="minorEastAsia"/>
          <w:sz w:val="21"/>
          <w:szCs w:val="21"/>
        </w:rPr>
        <w:t>十一、合同生效及其它：</w:t>
      </w:r>
      <w:bookmarkEnd w:id="908"/>
      <w:bookmarkEnd w:id="909"/>
    </w:p>
    <w:p w14:paraId="073C1568">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1、本合同一式</w:t>
      </w:r>
      <w:r>
        <w:rPr>
          <w:rFonts w:hint="eastAsia" w:asciiTheme="minorEastAsia" w:hAnsiTheme="minorEastAsia" w:eastAsiaTheme="minorEastAsia" w:cstheme="minorEastAsia"/>
          <w:sz w:val="21"/>
          <w:szCs w:val="21"/>
          <w:u w:val="single"/>
        </w:rPr>
        <w:t xml:space="preserve">  六  </w:t>
      </w:r>
      <w:r>
        <w:rPr>
          <w:rFonts w:hint="eastAsia" w:asciiTheme="minorEastAsia" w:hAnsiTheme="minorEastAsia" w:eastAsiaTheme="minorEastAsia" w:cstheme="minorEastAsia"/>
          <w:sz w:val="21"/>
          <w:szCs w:val="21"/>
        </w:rPr>
        <w:t>份，经双方签字，并加盖公章即为生效。</w:t>
      </w:r>
    </w:p>
    <w:p w14:paraId="39DC62A7">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2、本合同未尽事宜，按经济合同法有关规定处理。</w:t>
      </w:r>
    </w:p>
    <w:p w14:paraId="1C6F60FB">
      <w:pPr>
        <w:autoSpaceDE w:val="0"/>
        <w:autoSpaceDN w:val="0"/>
        <w:spacing w:line="360" w:lineRule="auto"/>
        <w:ind w:firstLine="360"/>
        <w:rPr>
          <w:rFonts w:hint="eastAsia" w:asciiTheme="minorEastAsia" w:hAnsiTheme="minorEastAsia" w:eastAsiaTheme="minorEastAsia" w:cstheme="minorEastAsia"/>
          <w:sz w:val="21"/>
          <w:szCs w:val="21"/>
        </w:rPr>
      </w:pPr>
    </w:p>
    <w:p w14:paraId="6C6F62D5">
      <w:pPr>
        <w:pStyle w:val="103"/>
        <w:rPr>
          <w:rFonts w:hint="eastAsia" w:asciiTheme="minorEastAsia" w:hAnsiTheme="minorEastAsia" w:eastAsiaTheme="minorEastAsia" w:cstheme="minorEastAsia"/>
          <w:sz w:val="21"/>
          <w:szCs w:val="21"/>
        </w:rPr>
      </w:pPr>
    </w:p>
    <w:p w14:paraId="49802958">
      <w:pPr>
        <w:pStyle w:val="103"/>
        <w:rPr>
          <w:rFonts w:hint="eastAsia" w:asciiTheme="minorEastAsia" w:hAnsiTheme="minorEastAsia" w:eastAsiaTheme="minorEastAsia" w:cstheme="minorEastAsia"/>
          <w:sz w:val="21"/>
          <w:szCs w:val="21"/>
        </w:rPr>
      </w:pPr>
    </w:p>
    <w:p w14:paraId="24E65A35">
      <w:pPr>
        <w:pStyle w:val="103"/>
        <w:rPr>
          <w:rFonts w:hint="eastAsia" w:asciiTheme="minorEastAsia" w:hAnsiTheme="minorEastAsia" w:eastAsiaTheme="minorEastAsia" w:cstheme="minorEastAsia"/>
          <w:sz w:val="21"/>
          <w:szCs w:val="21"/>
        </w:rPr>
      </w:pPr>
    </w:p>
    <w:p w14:paraId="0BA6AC2E">
      <w:pPr>
        <w:pStyle w:val="103"/>
        <w:rPr>
          <w:rFonts w:hint="eastAsia" w:asciiTheme="minorEastAsia" w:hAnsiTheme="minorEastAsia" w:eastAsiaTheme="minorEastAsia" w:cstheme="minorEastAsia"/>
          <w:sz w:val="21"/>
          <w:szCs w:val="21"/>
        </w:rPr>
      </w:pPr>
    </w:p>
    <w:tbl>
      <w:tblPr>
        <w:tblStyle w:val="2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98"/>
        <w:gridCol w:w="2802"/>
        <w:gridCol w:w="2300"/>
        <w:gridCol w:w="2460"/>
      </w:tblGrid>
      <w:tr w14:paraId="50D38CE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1" w:type="pct"/>
            <w:gridSpan w:val="2"/>
            <w:tcBorders>
              <w:bottom w:val="single" w:color="auto" w:sz="2" w:space="0"/>
              <w:right w:val="single" w:color="auto" w:sz="2" w:space="0"/>
            </w:tcBorders>
            <w:noWrap w:val="0"/>
            <w:vAlign w:val="center"/>
          </w:tcPr>
          <w:p w14:paraId="1FDA920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甲方（采购人）</w:t>
            </w:r>
          </w:p>
        </w:tc>
        <w:tc>
          <w:tcPr>
            <w:tcW w:w="2438" w:type="pct"/>
            <w:gridSpan w:val="2"/>
            <w:tcBorders>
              <w:left w:val="single" w:color="auto" w:sz="2" w:space="0"/>
              <w:bottom w:val="single" w:color="auto" w:sz="2" w:space="0"/>
            </w:tcBorders>
            <w:noWrap w:val="0"/>
            <w:vAlign w:val="center"/>
          </w:tcPr>
          <w:p w14:paraId="7DB65992">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乙方（供应商）</w:t>
            </w:r>
          </w:p>
        </w:tc>
      </w:tr>
      <w:tr w14:paraId="128B3AA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79F80602">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单位名称（公章</w:t>
            </w:r>
            <w:r>
              <w:rPr>
                <w:rFonts w:hint="eastAsia" w:asciiTheme="minorEastAsia" w:hAnsiTheme="minorEastAsia" w:eastAsiaTheme="minorEastAsia" w:cstheme="minorEastAsia"/>
                <w:sz w:val="21"/>
                <w:szCs w:val="21"/>
                <w:lang w:eastAsia="zh-CN"/>
              </w:rPr>
              <w:t>或合同章</w:t>
            </w:r>
            <w:r>
              <w:rPr>
                <w:rFonts w:hint="eastAsia" w:asciiTheme="minorEastAsia" w:hAnsiTheme="minorEastAsia" w:eastAsiaTheme="minorEastAsia" w:cstheme="minorEastAsia"/>
                <w:sz w:val="21"/>
                <w:szCs w:val="21"/>
              </w:rPr>
              <w:t>）</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1FF1193E">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3E7EC25">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单位名称（公章</w:t>
            </w:r>
            <w:r>
              <w:rPr>
                <w:rFonts w:hint="eastAsia" w:asciiTheme="minorEastAsia" w:hAnsiTheme="minorEastAsia" w:eastAsiaTheme="minorEastAsia" w:cstheme="minorEastAsia"/>
                <w:sz w:val="21"/>
                <w:szCs w:val="21"/>
                <w:lang w:eastAsia="zh-CN"/>
              </w:rPr>
              <w:t>或合同章</w:t>
            </w:r>
            <w:r>
              <w:rPr>
                <w:rFonts w:hint="eastAsia" w:asciiTheme="minorEastAsia" w:hAnsiTheme="minorEastAsia" w:eastAsiaTheme="minorEastAsia" w:cstheme="minorEastAsia"/>
                <w:sz w:val="21"/>
                <w:szCs w:val="21"/>
              </w:rPr>
              <w:t>）</w:t>
            </w:r>
          </w:p>
        </w:tc>
        <w:tc>
          <w:tcPr>
            <w:tcW w:w="1260" w:type="pct"/>
            <w:tcBorders>
              <w:top w:val="single" w:color="auto" w:sz="2" w:space="0"/>
              <w:left w:val="single" w:color="auto" w:sz="2" w:space="0"/>
              <w:bottom w:val="single" w:color="auto" w:sz="2" w:space="0"/>
            </w:tcBorders>
            <w:noWrap w:val="0"/>
            <w:vAlign w:val="center"/>
          </w:tcPr>
          <w:p w14:paraId="250D8D91">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223E4E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09BC8B74">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w:t>
            </w:r>
          </w:p>
          <w:p w14:paraId="085E2D2D">
            <w:pPr>
              <w:adjustRightInd w:val="0"/>
              <w:snapToGrid w:val="0"/>
              <w:spacing w:line="300" w:lineRule="exact"/>
              <w:ind w:firstLine="100" w:firstLineChars="48"/>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或其委托代理人（签章）</w:t>
            </w:r>
          </w:p>
        </w:tc>
        <w:tc>
          <w:tcPr>
            <w:tcW w:w="1435" w:type="pct"/>
            <w:vMerge w:val="restart"/>
            <w:tcBorders>
              <w:top w:val="single" w:color="auto" w:sz="2" w:space="0"/>
              <w:left w:val="single" w:color="auto" w:sz="2" w:space="0"/>
              <w:right w:val="single" w:color="auto" w:sz="2" w:space="0"/>
            </w:tcBorders>
            <w:noWrap w:val="0"/>
            <w:vAlign w:val="center"/>
          </w:tcPr>
          <w:p w14:paraId="43060161">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right w:val="single" w:color="auto" w:sz="2" w:space="0"/>
            </w:tcBorders>
            <w:noWrap w:val="0"/>
            <w:vAlign w:val="center"/>
          </w:tcPr>
          <w:p w14:paraId="6CC6A78A">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w:t>
            </w:r>
          </w:p>
          <w:p w14:paraId="7AF489E5">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或其委托代理人（签章）</w:t>
            </w:r>
          </w:p>
        </w:tc>
        <w:tc>
          <w:tcPr>
            <w:tcW w:w="1260" w:type="pct"/>
            <w:tcBorders>
              <w:top w:val="single" w:color="auto" w:sz="2" w:space="0"/>
              <w:left w:val="single" w:color="auto" w:sz="2" w:space="0"/>
              <w:bottom w:val="single" w:color="auto" w:sz="2" w:space="0"/>
            </w:tcBorders>
            <w:noWrap w:val="0"/>
            <w:vAlign w:val="center"/>
          </w:tcPr>
          <w:p w14:paraId="5439774D">
            <w:pPr>
              <w:adjustRightInd w:val="0"/>
              <w:snapToGrid w:val="0"/>
              <w:spacing w:line="300" w:lineRule="exact"/>
              <w:jc w:val="center"/>
              <w:rPr>
                <w:rFonts w:hint="eastAsia" w:asciiTheme="minorEastAsia" w:hAnsiTheme="minorEastAsia" w:eastAsiaTheme="minorEastAsia" w:cstheme="minorEastAsia"/>
                <w:sz w:val="21"/>
                <w:szCs w:val="21"/>
              </w:rPr>
            </w:pPr>
          </w:p>
        </w:tc>
      </w:tr>
      <w:tr w14:paraId="3BF9D12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48BE3C20">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vMerge w:val="continue"/>
            <w:tcBorders>
              <w:left w:val="single" w:color="auto" w:sz="2" w:space="0"/>
              <w:bottom w:val="single" w:color="auto" w:sz="2" w:space="0"/>
              <w:right w:val="single" w:color="auto" w:sz="2" w:space="0"/>
            </w:tcBorders>
            <w:noWrap w:val="0"/>
            <w:vAlign w:val="center"/>
          </w:tcPr>
          <w:p w14:paraId="687BEEF3">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A86244E">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拥有者性别</w:t>
            </w:r>
          </w:p>
        </w:tc>
        <w:tc>
          <w:tcPr>
            <w:tcW w:w="1260" w:type="pct"/>
            <w:tcBorders>
              <w:top w:val="single" w:color="auto" w:sz="2" w:space="0"/>
              <w:left w:val="single" w:color="auto" w:sz="2" w:space="0"/>
              <w:bottom w:val="single" w:color="auto" w:sz="2" w:space="0"/>
            </w:tcBorders>
            <w:noWrap w:val="0"/>
            <w:vAlign w:val="center"/>
          </w:tcPr>
          <w:p w14:paraId="0D29CCDB">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0CC1BD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E21CBAE">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住</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lang w:eastAsia="zh-CN"/>
              </w:rPr>
              <w:t>所</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12DD92E6">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91D490D">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住</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lang w:eastAsia="zh-CN"/>
              </w:rPr>
              <w:t>所</w:t>
            </w:r>
          </w:p>
        </w:tc>
        <w:tc>
          <w:tcPr>
            <w:tcW w:w="1260" w:type="pct"/>
            <w:tcBorders>
              <w:top w:val="single" w:color="auto" w:sz="2" w:space="0"/>
              <w:left w:val="single" w:color="auto" w:sz="2" w:space="0"/>
              <w:bottom w:val="single" w:color="auto" w:sz="2" w:space="0"/>
            </w:tcBorders>
            <w:noWrap w:val="0"/>
            <w:vAlign w:val="center"/>
          </w:tcPr>
          <w:p w14:paraId="044D8AD1">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3124ADE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6EA0CB9">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 系 人</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5ADA9D4E">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9D78690">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 系 人</w:t>
            </w:r>
          </w:p>
        </w:tc>
        <w:tc>
          <w:tcPr>
            <w:tcW w:w="1260" w:type="pct"/>
            <w:tcBorders>
              <w:top w:val="single" w:color="auto" w:sz="2" w:space="0"/>
              <w:left w:val="single" w:color="auto" w:sz="2" w:space="0"/>
              <w:bottom w:val="single" w:color="auto" w:sz="2" w:space="0"/>
            </w:tcBorders>
            <w:noWrap w:val="0"/>
            <w:vAlign w:val="center"/>
          </w:tcPr>
          <w:p w14:paraId="28B7E351">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420CC35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33A998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DDD4C3B">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8825A2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w:t>
            </w:r>
          </w:p>
        </w:tc>
        <w:tc>
          <w:tcPr>
            <w:tcW w:w="1260" w:type="pct"/>
            <w:tcBorders>
              <w:top w:val="single" w:color="auto" w:sz="2" w:space="0"/>
              <w:left w:val="single" w:color="auto" w:sz="2" w:space="0"/>
              <w:bottom w:val="single" w:color="auto" w:sz="2" w:space="0"/>
            </w:tcBorders>
            <w:noWrap w:val="0"/>
            <w:vAlign w:val="center"/>
          </w:tcPr>
          <w:p w14:paraId="0DFF0C96">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100F3C4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30664D4">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通信地址</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482EAEA2">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1F4E5C1">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通信地址</w:t>
            </w:r>
          </w:p>
        </w:tc>
        <w:tc>
          <w:tcPr>
            <w:tcW w:w="1260" w:type="pct"/>
            <w:tcBorders>
              <w:top w:val="single" w:color="auto" w:sz="2" w:space="0"/>
              <w:left w:val="single" w:color="auto" w:sz="2" w:space="0"/>
              <w:bottom w:val="single" w:color="auto" w:sz="2" w:space="0"/>
            </w:tcBorders>
            <w:noWrap w:val="0"/>
            <w:vAlign w:val="center"/>
          </w:tcPr>
          <w:p w14:paraId="2B0489D8">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0FC936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853E6AB">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邮政编码</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485390EA">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908A95A">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邮政编码</w:t>
            </w:r>
          </w:p>
        </w:tc>
        <w:tc>
          <w:tcPr>
            <w:tcW w:w="1260" w:type="pct"/>
            <w:tcBorders>
              <w:top w:val="single" w:color="auto" w:sz="2" w:space="0"/>
              <w:left w:val="single" w:color="auto" w:sz="2" w:space="0"/>
              <w:bottom w:val="single" w:color="auto" w:sz="2" w:space="0"/>
            </w:tcBorders>
            <w:noWrap w:val="0"/>
            <w:vAlign w:val="center"/>
          </w:tcPr>
          <w:p w14:paraId="2D913295">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4E7042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627AA1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电子邮箱</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79F40427">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5E20226">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电子邮箱</w:t>
            </w:r>
          </w:p>
        </w:tc>
        <w:tc>
          <w:tcPr>
            <w:tcW w:w="1260" w:type="pct"/>
            <w:tcBorders>
              <w:top w:val="single" w:color="auto" w:sz="2" w:space="0"/>
              <w:left w:val="single" w:color="auto" w:sz="2" w:space="0"/>
              <w:bottom w:val="single" w:color="auto" w:sz="2" w:space="0"/>
            </w:tcBorders>
            <w:noWrap w:val="0"/>
            <w:vAlign w:val="center"/>
          </w:tcPr>
          <w:p w14:paraId="650574C6">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073BBFC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0FCE74F">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统一社会信用代码</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596E6E70">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08A22D9">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统一社会信用代码</w:t>
            </w:r>
          </w:p>
        </w:tc>
        <w:tc>
          <w:tcPr>
            <w:tcW w:w="1260" w:type="pct"/>
            <w:tcBorders>
              <w:top w:val="single" w:color="auto" w:sz="2" w:space="0"/>
              <w:left w:val="single" w:color="auto" w:sz="2" w:space="0"/>
              <w:bottom w:val="single" w:color="auto" w:sz="2" w:space="0"/>
            </w:tcBorders>
            <w:noWrap w:val="0"/>
            <w:vAlign w:val="center"/>
          </w:tcPr>
          <w:p w14:paraId="37A7086C">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72D92D5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DB353C0">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00267F67">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33A75BC">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开户名称</w:t>
            </w:r>
          </w:p>
        </w:tc>
        <w:tc>
          <w:tcPr>
            <w:tcW w:w="1260" w:type="pct"/>
            <w:tcBorders>
              <w:top w:val="single" w:color="auto" w:sz="2" w:space="0"/>
              <w:left w:val="single" w:color="auto" w:sz="2" w:space="0"/>
              <w:bottom w:val="single" w:color="auto" w:sz="2" w:space="0"/>
            </w:tcBorders>
            <w:noWrap w:val="0"/>
            <w:vAlign w:val="center"/>
          </w:tcPr>
          <w:p w14:paraId="08E85F8E">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3C4013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199ED87">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49264558">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2EEF314">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开户银行</w:t>
            </w:r>
          </w:p>
        </w:tc>
        <w:tc>
          <w:tcPr>
            <w:tcW w:w="1260" w:type="pct"/>
            <w:tcBorders>
              <w:top w:val="single" w:color="auto" w:sz="2" w:space="0"/>
              <w:left w:val="single" w:color="auto" w:sz="2" w:space="0"/>
              <w:bottom w:val="single" w:color="auto" w:sz="2" w:space="0"/>
            </w:tcBorders>
            <w:noWrap w:val="0"/>
            <w:vAlign w:val="center"/>
          </w:tcPr>
          <w:p w14:paraId="0CE1C5CC">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3EBE6A8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C8BB5C9">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45FD2EED">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34F9623">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银行账号</w:t>
            </w:r>
          </w:p>
        </w:tc>
        <w:tc>
          <w:tcPr>
            <w:tcW w:w="1260" w:type="pct"/>
            <w:tcBorders>
              <w:top w:val="single" w:color="auto" w:sz="2" w:space="0"/>
              <w:left w:val="single" w:color="auto" w:sz="2" w:space="0"/>
              <w:bottom w:val="single" w:color="auto" w:sz="2" w:space="0"/>
            </w:tcBorders>
            <w:noWrap w:val="0"/>
            <w:vAlign w:val="center"/>
          </w:tcPr>
          <w:p w14:paraId="3790C851">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bl>
    <w:p w14:paraId="54D1B4F6">
      <w:pPr>
        <w:autoSpaceDE w:val="0"/>
        <w:autoSpaceDN w:val="0"/>
        <w:adjustRightInd w:val="0"/>
        <w:spacing w:line="360" w:lineRule="auto"/>
        <w:jc w:val="left"/>
        <w:rPr>
          <w:rFonts w:ascii="宋体" w:hAnsi="宋体" w:cs="宋体"/>
          <w:b/>
          <w:bCs/>
          <w:kern w:val="0"/>
          <w:sz w:val="28"/>
          <w:szCs w:val="28"/>
          <w:lang w:val="zh-CN"/>
        </w:rPr>
      </w:pPr>
      <w:r>
        <w:rPr>
          <w:rFonts w:hint="eastAsia" w:ascii="宋体" w:hAnsi="宋体" w:cs="宋体"/>
          <w:sz w:val="28"/>
          <w:szCs w:val="28"/>
          <w:lang w:val="zh-CN"/>
        </w:rPr>
        <w:br w:type="page"/>
      </w:r>
    </w:p>
    <w:p w14:paraId="537BDDCB">
      <w:pPr>
        <w:spacing w:line="360" w:lineRule="auto"/>
        <w:jc w:val="center"/>
        <w:outlineLvl w:val="0"/>
        <w:rPr>
          <w:rFonts w:ascii="宋体" w:hAnsi="宋体" w:cs="宋体"/>
          <w:sz w:val="36"/>
          <w:szCs w:val="36"/>
        </w:rPr>
      </w:pPr>
      <w:bookmarkStart w:id="910" w:name="_Toc20437"/>
      <w:bookmarkStart w:id="911" w:name="_Toc6422"/>
      <w:bookmarkStart w:id="912" w:name="_Toc22582"/>
      <w:bookmarkStart w:id="913" w:name="_Toc12130"/>
      <w:bookmarkStart w:id="914" w:name="_Toc17834"/>
      <w:bookmarkStart w:id="915" w:name="_Toc20031"/>
      <w:bookmarkStart w:id="916" w:name="_Toc16448"/>
      <w:bookmarkStart w:id="917" w:name="_Toc17178"/>
      <w:bookmarkStart w:id="918" w:name="_Toc5893"/>
      <w:bookmarkStart w:id="919" w:name="_Toc14085"/>
      <w:bookmarkStart w:id="920" w:name="_Toc25729"/>
      <w:bookmarkStart w:id="921" w:name="_Toc27840"/>
      <w:bookmarkStart w:id="922" w:name="_Toc23387_WPSOffice_Level1"/>
      <w:bookmarkStart w:id="923" w:name="_Toc22470_WPSOffice_Level1"/>
      <w:bookmarkStart w:id="924" w:name="_Toc4339"/>
      <w:bookmarkStart w:id="925" w:name="_Toc31666"/>
      <w:bookmarkStart w:id="926" w:name="_Toc28480"/>
      <w:bookmarkStart w:id="927" w:name="_Toc29170"/>
      <w:bookmarkStart w:id="928" w:name="_Toc4668"/>
      <w:bookmarkStart w:id="929" w:name="_Toc14792"/>
      <w:bookmarkStart w:id="930" w:name="_Toc4955"/>
      <w:bookmarkStart w:id="931" w:name="_Toc28994"/>
      <w:bookmarkStart w:id="932" w:name="_Toc3285"/>
      <w:bookmarkStart w:id="933" w:name="_Toc8637"/>
      <w:r>
        <w:rPr>
          <w:rFonts w:hint="eastAsia" w:ascii="宋体" w:hAnsi="宋体" w:cs="宋体"/>
          <w:b/>
          <w:bCs/>
          <w:sz w:val="36"/>
          <w:szCs w:val="36"/>
          <w:lang w:val="zh-CN"/>
        </w:rPr>
        <w:t xml:space="preserve">第四部分  </w:t>
      </w:r>
      <w:bookmarkEnd w:id="910"/>
      <w:bookmarkStart w:id="934" w:name="_Toc21530"/>
      <w:r>
        <w:rPr>
          <w:rFonts w:hint="eastAsia" w:ascii="宋体" w:hAnsi="宋体" w:cs="宋体"/>
          <w:b/>
          <w:bCs/>
          <w:sz w:val="36"/>
          <w:szCs w:val="36"/>
          <w:lang w:val="zh-CN"/>
        </w:rPr>
        <w:t>投标文件格式</w:t>
      </w:r>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14:paraId="18DEA024">
      <w:pPr>
        <w:rPr>
          <w:rFonts w:ascii="宋体" w:hAnsi="宋体" w:cs="宋体"/>
        </w:rPr>
      </w:pPr>
      <w:r>
        <w:rPr>
          <w:rFonts w:hint="eastAsia" w:ascii="宋体" w:hAnsi="宋体" w:cs="宋体"/>
        </w:rPr>
        <w:t>封面格式</w:t>
      </w:r>
    </w:p>
    <w:p w14:paraId="70817BE6">
      <w:pPr>
        <w:rPr>
          <w:rFonts w:ascii="宋体" w:hAnsi="宋体" w:cs="宋体"/>
        </w:rPr>
      </w:pPr>
    </w:p>
    <w:p w14:paraId="1F9E0694">
      <w:pPr>
        <w:jc w:val="right"/>
        <w:rPr>
          <w:rFonts w:ascii="宋体" w:hAnsi="宋体" w:cs="宋体"/>
          <w:sz w:val="30"/>
          <w:szCs w:val="30"/>
        </w:rPr>
      </w:pPr>
      <w:bookmarkStart w:id="935" w:name="_Toc9913_WPSOffice_Level2"/>
      <w:bookmarkStart w:id="936" w:name="_Toc30220"/>
      <w:bookmarkStart w:id="937" w:name="_Toc5338"/>
      <w:bookmarkStart w:id="938" w:name="_Toc23030"/>
      <w:bookmarkStart w:id="939" w:name="_Toc6986_WPSOffice_Level2"/>
      <w:bookmarkStart w:id="940" w:name="_Toc30722_WPSOffice_Level2"/>
    </w:p>
    <w:bookmarkEnd w:id="935"/>
    <w:bookmarkEnd w:id="936"/>
    <w:bookmarkEnd w:id="937"/>
    <w:bookmarkEnd w:id="938"/>
    <w:bookmarkEnd w:id="939"/>
    <w:bookmarkEnd w:id="940"/>
    <w:p w14:paraId="0D6A3020">
      <w:pPr>
        <w:spacing w:line="360" w:lineRule="auto"/>
        <w:rPr>
          <w:rFonts w:hint="eastAsia" w:ascii="宋体" w:hAnsi="宋体" w:eastAsia="宋体" w:cs="宋体"/>
          <w:b/>
          <w:sz w:val="32"/>
          <w:szCs w:val="32"/>
        </w:rPr>
      </w:pPr>
    </w:p>
    <w:p w14:paraId="26F06167">
      <w:pPr>
        <w:spacing w:line="360" w:lineRule="auto"/>
        <w:jc w:val="center"/>
        <w:rPr>
          <w:rFonts w:hint="eastAsia" w:ascii="宋体" w:hAnsi="宋体" w:eastAsia="宋体" w:cs="宋体"/>
          <w:b/>
          <w:sz w:val="40"/>
          <w:szCs w:val="40"/>
        </w:rPr>
      </w:pPr>
      <w:r>
        <w:rPr>
          <w:rFonts w:hint="eastAsia" w:ascii="宋体" w:hAnsi="宋体" w:eastAsia="宋体" w:cs="宋体"/>
          <w:b/>
          <w:sz w:val="40"/>
          <w:szCs w:val="40"/>
        </w:rPr>
        <w:t>平顶山市卫东区教育体育局教学一体机设备采购项目</w:t>
      </w:r>
    </w:p>
    <w:p w14:paraId="3F3FDE6F">
      <w:pPr>
        <w:pStyle w:val="12"/>
        <w:ind w:firstLine="0"/>
        <w:jc w:val="center"/>
        <w:rPr>
          <w:sz w:val="24"/>
        </w:rPr>
      </w:pPr>
    </w:p>
    <w:p w14:paraId="0B67E480">
      <w:pPr>
        <w:pStyle w:val="12"/>
        <w:ind w:firstLine="0"/>
        <w:jc w:val="center"/>
        <w:rPr>
          <w:sz w:val="24"/>
        </w:rPr>
      </w:pPr>
    </w:p>
    <w:p w14:paraId="191229C0">
      <w:pPr>
        <w:pStyle w:val="28"/>
        <w:ind w:left="480" w:firstLine="480"/>
      </w:pPr>
    </w:p>
    <w:p w14:paraId="177DE8A7">
      <w:pPr>
        <w:pStyle w:val="12"/>
        <w:ind w:firstLine="0"/>
        <w:jc w:val="center"/>
        <w:rPr>
          <w:sz w:val="24"/>
        </w:rPr>
      </w:pPr>
    </w:p>
    <w:p w14:paraId="6E8117C3">
      <w:pPr>
        <w:spacing w:line="360" w:lineRule="auto"/>
        <w:jc w:val="center"/>
        <w:rPr>
          <w:rFonts w:ascii="宋体" w:hAnsi="宋体" w:cs="宋体"/>
          <w:b/>
          <w:sz w:val="84"/>
          <w:szCs w:val="84"/>
        </w:rPr>
      </w:pPr>
      <w:bookmarkStart w:id="941" w:name="_Toc15016"/>
      <w:bookmarkStart w:id="942" w:name="_Toc32763_WPSOffice_Level3"/>
      <w:bookmarkStart w:id="943" w:name="_Toc30034"/>
      <w:r>
        <w:rPr>
          <w:rFonts w:hint="eastAsia" w:ascii="宋体" w:hAnsi="宋体" w:cs="宋体"/>
          <w:b/>
          <w:sz w:val="84"/>
          <w:szCs w:val="84"/>
        </w:rPr>
        <w:t>投标文件</w:t>
      </w:r>
      <w:bookmarkEnd w:id="941"/>
      <w:bookmarkEnd w:id="942"/>
      <w:bookmarkEnd w:id="943"/>
    </w:p>
    <w:p w14:paraId="783D6675">
      <w:pPr>
        <w:spacing w:line="360" w:lineRule="auto"/>
        <w:rPr>
          <w:rFonts w:ascii="宋体" w:hAnsi="宋体" w:cs="宋体"/>
        </w:rPr>
      </w:pPr>
    </w:p>
    <w:p w14:paraId="4C0A9D0C">
      <w:pPr>
        <w:spacing w:line="360" w:lineRule="auto"/>
        <w:ind w:firstLine="2699" w:firstLineChars="896"/>
        <w:rPr>
          <w:rFonts w:ascii="宋体" w:hAnsi="宋体" w:cs="宋体"/>
          <w:b/>
          <w:sz w:val="30"/>
          <w:szCs w:val="30"/>
        </w:rPr>
      </w:pPr>
      <w:bookmarkStart w:id="944" w:name="_Toc3967_WPSOffice_Level3"/>
      <w:bookmarkStart w:id="945" w:name="_Toc13928"/>
      <w:r>
        <w:rPr>
          <w:rFonts w:hint="eastAsia" w:ascii="宋体" w:hAnsi="宋体" w:cs="宋体"/>
          <w:b/>
          <w:sz w:val="30"/>
          <w:szCs w:val="30"/>
        </w:rPr>
        <w:t>采购编号：</w:t>
      </w:r>
      <w:bookmarkEnd w:id="944"/>
      <w:bookmarkEnd w:id="945"/>
      <w:r>
        <w:rPr>
          <w:rFonts w:hint="eastAsia" w:ascii="宋体" w:hAnsi="宋体" w:cs="宋体"/>
          <w:b/>
          <w:sz w:val="30"/>
          <w:szCs w:val="30"/>
        </w:rPr>
        <w:t xml:space="preserve">  </w:t>
      </w:r>
    </w:p>
    <w:p w14:paraId="2510D0C3">
      <w:pPr>
        <w:spacing w:line="360" w:lineRule="auto"/>
        <w:rPr>
          <w:rFonts w:ascii="宋体" w:hAnsi="宋体" w:cs="宋体"/>
          <w:sz w:val="32"/>
          <w:szCs w:val="32"/>
        </w:rPr>
      </w:pPr>
    </w:p>
    <w:p w14:paraId="3E4AE570">
      <w:pPr>
        <w:spacing w:line="360" w:lineRule="auto"/>
        <w:rPr>
          <w:rFonts w:ascii="宋体" w:hAnsi="宋体" w:cs="宋体"/>
          <w:sz w:val="32"/>
          <w:szCs w:val="32"/>
        </w:rPr>
      </w:pPr>
    </w:p>
    <w:p w14:paraId="3248E9D7">
      <w:pPr>
        <w:spacing w:line="360" w:lineRule="auto"/>
        <w:rPr>
          <w:rFonts w:ascii="宋体" w:hAnsi="宋体" w:cs="宋体"/>
          <w:sz w:val="32"/>
          <w:szCs w:val="32"/>
        </w:rPr>
      </w:pPr>
    </w:p>
    <w:p w14:paraId="5C87052A">
      <w:pPr>
        <w:spacing w:line="360" w:lineRule="auto"/>
        <w:rPr>
          <w:rFonts w:ascii="宋体" w:hAnsi="宋体" w:cs="宋体"/>
          <w:sz w:val="32"/>
          <w:szCs w:val="32"/>
        </w:rPr>
      </w:pPr>
    </w:p>
    <w:p w14:paraId="5078B5F3">
      <w:pPr>
        <w:spacing w:line="360" w:lineRule="auto"/>
        <w:rPr>
          <w:rFonts w:ascii="宋体" w:hAnsi="宋体" w:cs="宋体"/>
          <w:sz w:val="32"/>
          <w:szCs w:val="32"/>
        </w:rPr>
      </w:pPr>
    </w:p>
    <w:p w14:paraId="221680BE"/>
    <w:p w14:paraId="5FE2B841"/>
    <w:p w14:paraId="3DC564CF">
      <w:pPr>
        <w:spacing w:line="360" w:lineRule="auto"/>
        <w:ind w:firstLine="1079" w:firstLineChars="336"/>
        <w:rPr>
          <w:rFonts w:ascii="宋体" w:hAnsi="宋体" w:cs="宋体"/>
          <w:b/>
          <w:sz w:val="32"/>
          <w:szCs w:val="32"/>
          <w:u w:val="single"/>
        </w:rPr>
      </w:pPr>
      <w:bookmarkStart w:id="946" w:name="_Toc503"/>
      <w:bookmarkStart w:id="947" w:name="_Toc17168"/>
      <w:bookmarkStart w:id="948" w:name="_Toc32585_WPSOffice_Level3"/>
      <w:r>
        <w:rPr>
          <w:rFonts w:hint="eastAsia" w:ascii="宋体" w:hAnsi="宋体" w:cs="宋体"/>
          <w:b/>
          <w:sz w:val="32"/>
          <w:szCs w:val="32"/>
          <w:lang w:eastAsia="zh-CN"/>
        </w:rPr>
        <w:t>供应商</w:t>
      </w:r>
      <w:r>
        <w:rPr>
          <w:rFonts w:hint="eastAsia" w:ascii="宋体" w:hAnsi="宋体" w:cs="宋体"/>
          <w:b/>
          <w:sz w:val="32"/>
          <w:szCs w:val="32"/>
        </w:rPr>
        <w:t xml:space="preserve"> ：</w:t>
      </w:r>
      <w:r>
        <w:rPr>
          <w:rFonts w:hint="eastAsia" w:ascii="宋体" w:hAnsi="宋体" w:cs="宋体"/>
          <w:b/>
          <w:sz w:val="32"/>
          <w:szCs w:val="32"/>
          <w:u w:val="single"/>
        </w:rPr>
        <w:t xml:space="preserve">                       （企业电子签章）</w:t>
      </w:r>
      <w:bookmarkEnd w:id="946"/>
      <w:bookmarkEnd w:id="947"/>
      <w:bookmarkEnd w:id="948"/>
    </w:p>
    <w:p w14:paraId="53D5B9C3">
      <w:pPr>
        <w:spacing w:line="360" w:lineRule="auto"/>
        <w:ind w:firstLine="806" w:firstLineChars="336"/>
        <w:rPr>
          <w:rFonts w:ascii="宋体" w:hAnsi="宋体" w:cs="宋体"/>
          <w:b/>
          <w:sz w:val="32"/>
          <w:szCs w:val="32"/>
        </w:rPr>
      </w:pPr>
      <w:r>
        <w:rPr>
          <w:rFonts w:hint="eastAsia" w:ascii="宋体" w:hAnsi="宋体" w:cs="宋体"/>
        </w:rPr>
        <w:t xml:space="preserve">   </w:t>
      </w:r>
      <w:bookmarkStart w:id="949" w:name="_Toc2782_WPSOffice_Level3"/>
      <w:bookmarkStart w:id="950" w:name="_Toc7695"/>
      <w:bookmarkStart w:id="951" w:name="_Toc10960"/>
      <w:r>
        <w:rPr>
          <w:rFonts w:hint="eastAsia" w:ascii="宋体" w:hAnsi="宋体" w:cs="宋体"/>
          <w:b/>
          <w:sz w:val="32"/>
          <w:szCs w:val="32"/>
        </w:rPr>
        <w:t>法定代表人或其授权代理人：</w:t>
      </w:r>
      <w:r>
        <w:rPr>
          <w:rFonts w:hint="eastAsia" w:ascii="宋体" w:hAnsi="宋体" w:cs="宋体"/>
          <w:b/>
          <w:sz w:val="32"/>
          <w:szCs w:val="32"/>
          <w:u w:val="single"/>
        </w:rPr>
        <w:t xml:space="preserve">     （电子签章）</w:t>
      </w:r>
      <w:bookmarkEnd w:id="949"/>
      <w:bookmarkEnd w:id="950"/>
      <w:bookmarkEnd w:id="951"/>
    </w:p>
    <w:p w14:paraId="41C0BF9C">
      <w:pPr>
        <w:spacing w:line="360" w:lineRule="auto"/>
        <w:ind w:firstLine="1079" w:firstLineChars="336"/>
        <w:rPr>
          <w:rFonts w:ascii="宋体" w:hAnsi="宋体" w:cs="宋体"/>
          <w:b/>
          <w:sz w:val="32"/>
          <w:szCs w:val="32"/>
        </w:rPr>
      </w:pPr>
      <w:bookmarkStart w:id="952" w:name="_Toc4187"/>
      <w:bookmarkStart w:id="953" w:name="_Toc30073_WPSOffice_Level3"/>
      <w:bookmarkStart w:id="954" w:name="_Toc18462"/>
      <w:r>
        <w:rPr>
          <w:rFonts w:hint="eastAsia" w:ascii="宋体" w:hAnsi="宋体" w:cs="宋体"/>
          <w:b/>
          <w:sz w:val="32"/>
          <w:szCs w:val="32"/>
        </w:rPr>
        <w:t>日  期：</w:t>
      </w:r>
      <w:r>
        <w:rPr>
          <w:rFonts w:hint="eastAsia" w:ascii="宋体" w:hAnsi="宋体" w:cs="宋体"/>
          <w:b/>
          <w:sz w:val="32"/>
          <w:szCs w:val="32"/>
          <w:u w:val="single"/>
        </w:rPr>
        <w:t xml:space="preserve">        </w:t>
      </w:r>
      <w:r>
        <w:rPr>
          <w:rFonts w:hint="eastAsia" w:ascii="宋体" w:hAnsi="宋体" w:cs="宋体"/>
          <w:b/>
          <w:sz w:val="32"/>
          <w:szCs w:val="32"/>
        </w:rPr>
        <w:t>年</w:t>
      </w:r>
      <w:r>
        <w:rPr>
          <w:rFonts w:hint="eastAsia" w:ascii="宋体" w:hAnsi="宋体" w:cs="宋体"/>
          <w:b/>
          <w:sz w:val="32"/>
          <w:szCs w:val="32"/>
          <w:u w:val="single"/>
        </w:rPr>
        <w:t xml:space="preserve">    </w:t>
      </w:r>
      <w:r>
        <w:rPr>
          <w:rFonts w:hint="eastAsia" w:ascii="宋体" w:hAnsi="宋体" w:cs="宋体"/>
          <w:b/>
          <w:sz w:val="32"/>
          <w:szCs w:val="32"/>
        </w:rPr>
        <w:t>月</w:t>
      </w:r>
      <w:r>
        <w:rPr>
          <w:rFonts w:hint="eastAsia" w:ascii="宋体" w:hAnsi="宋体" w:cs="宋体"/>
          <w:b/>
          <w:sz w:val="32"/>
          <w:szCs w:val="32"/>
          <w:u w:val="single"/>
        </w:rPr>
        <w:t xml:space="preserve">    </w:t>
      </w:r>
      <w:r>
        <w:rPr>
          <w:rFonts w:hint="eastAsia" w:ascii="宋体" w:hAnsi="宋体" w:cs="宋体"/>
          <w:b/>
          <w:sz w:val="32"/>
          <w:szCs w:val="32"/>
        </w:rPr>
        <w:t>日</w:t>
      </w:r>
      <w:bookmarkEnd w:id="952"/>
      <w:bookmarkEnd w:id="953"/>
      <w:bookmarkEnd w:id="954"/>
    </w:p>
    <w:p w14:paraId="18C85643">
      <w:pPr>
        <w:pStyle w:val="6"/>
        <w:ind w:firstLine="643"/>
        <w:jc w:val="center"/>
        <w:rPr>
          <w:rFonts w:ascii="宋体" w:hAnsi="宋体" w:cs="宋体"/>
          <w:b/>
          <w:sz w:val="32"/>
          <w:szCs w:val="32"/>
        </w:rPr>
      </w:pPr>
      <w:bookmarkStart w:id="955" w:name="_Toc2078"/>
      <w:bookmarkStart w:id="956" w:name="_Toc22145"/>
      <w:r>
        <w:rPr>
          <w:rFonts w:hint="eastAsia" w:ascii="宋体" w:hAnsi="宋体" w:cs="宋体"/>
          <w:b/>
          <w:sz w:val="32"/>
          <w:szCs w:val="32"/>
        </w:rPr>
        <w:t>目录</w:t>
      </w:r>
      <w:bookmarkEnd w:id="955"/>
      <w:bookmarkEnd w:id="956"/>
    </w:p>
    <w:p w14:paraId="47BC6427">
      <w:pPr>
        <w:jc w:val="center"/>
        <w:rPr>
          <w:rFonts w:ascii="宋体" w:hAnsi="宋体" w:cs="宋体"/>
        </w:rPr>
      </w:pPr>
      <w:r>
        <w:rPr>
          <w:rFonts w:hint="eastAsia" w:ascii="宋体" w:hAnsi="宋体" w:cs="宋体"/>
        </w:rPr>
        <w:t>（由</w:t>
      </w:r>
      <w:r>
        <w:rPr>
          <w:rFonts w:hint="eastAsia" w:ascii="宋体" w:hAnsi="宋体" w:cs="宋体"/>
          <w:lang w:eastAsia="zh-CN"/>
        </w:rPr>
        <w:t>供应商</w:t>
      </w:r>
      <w:r>
        <w:rPr>
          <w:rFonts w:hint="eastAsia" w:ascii="宋体" w:hAnsi="宋体" w:cs="宋体"/>
        </w:rPr>
        <w:t>制作投标文件时自行编制）</w:t>
      </w:r>
    </w:p>
    <w:p w14:paraId="782E97EA">
      <w:pPr>
        <w:rPr>
          <w:rFonts w:ascii="宋体" w:hAnsi="宋体" w:cs="宋体"/>
        </w:rPr>
      </w:pPr>
      <w:r>
        <w:rPr>
          <w:rFonts w:hint="eastAsia" w:ascii="宋体" w:hAnsi="宋体" w:cs="宋体"/>
        </w:rPr>
        <w:br w:type="page"/>
      </w:r>
    </w:p>
    <w:bookmarkEnd w:id="934"/>
    <w:p w14:paraId="5E08947B">
      <w:pPr>
        <w:pStyle w:val="5"/>
        <w:spacing w:line="380" w:lineRule="exact"/>
        <w:ind w:firstLine="562"/>
        <w:jc w:val="center"/>
        <w:rPr>
          <w:rFonts w:ascii="宋体" w:hAnsi="宋体" w:cs="宋体"/>
        </w:rPr>
      </w:pPr>
      <w:bookmarkStart w:id="957" w:name="_Toc193772320"/>
      <w:bookmarkStart w:id="958" w:name="_Toc4066"/>
      <w:bookmarkStart w:id="959" w:name="_Toc27165"/>
      <w:bookmarkStart w:id="960" w:name="_Toc25613"/>
      <w:bookmarkStart w:id="961" w:name="_Toc16893"/>
      <w:bookmarkStart w:id="962" w:name="_Toc15494"/>
      <w:bookmarkStart w:id="963" w:name="_Toc32115"/>
      <w:bookmarkStart w:id="964" w:name="_Toc6860"/>
      <w:bookmarkStart w:id="965" w:name="_Toc12636"/>
      <w:bookmarkStart w:id="966" w:name="_Toc18776"/>
      <w:bookmarkStart w:id="967" w:name="_Toc3758"/>
      <w:bookmarkStart w:id="968" w:name="_Toc20974_WPSOffice_Level3"/>
      <w:bookmarkStart w:id="969" w:name="_Toc26435"/>
      <w:bookmarkStart w:id="970" w:name="_Toc25261"/>
      <w:bookmarkStart w:id="971" w:name="_Toc12205"/>
      <w:bookmarkStart w:id="972" w:name="_Toc26952"/>
      <w:bookmarkStart w:id="973" w:name="_Toc27817"/>
      <w:bookmarkStart w:id="974" w:name="_Toc18603"/>
      <w:bookmarkStart w:id="975" w:name="_Toc1501"/>
      <w:bookmarkStart w:id="976" w:name="_Toc32077"/>
      <w:bookmarkStart w:id="977" w:name="_Toc25994"/>
      <w:bookmarkStart w:id="978" w:name="_Toc2569"/>
      <w:bookmarkStart w:id="979" w:name="_Toc20417"/>
      <w:bookmarkStart w:id="980" w:name="_Toc8051"/>
      <w:bookmarkStart w:id="981" w:name="_Toc26758"/>
      <w:bookmarkStart w:id="982" w:name="_Toc4153"/>
      <w:bookmarkStart w:id="983" w:name="_Toc4414"/>
      <w:bookmarkStart w:id="984" w:name="_Toc7108"/>
      <w:bookmarkStart w:id="985" w:name="_Toc19428"/>
      <w:bookmarkStart w:id="986" w:name="_Toc1306"/>
      <w:bookmarkStart w:id="987" w:name="_Toc7007"/>
      <w:bookmarkStart w:id="988" w:name="_Toc14355"/>
      <w:bookmarkStart w:id="989" w:name="_Toc10117"/>
      <w:bookmarkStart w:id="990" w:name="_Toc30334"/>
      <w:bookmarkStart w:id="991" w:name="_Toc837"/>
      <w:bookmarkStart w:id="992" w:name="_Toc20916"/>
      <w:bookmarkStart w:id="993" w:name="_Toc16830"/>
      <w:bookmarkStart w:id="994" w:name="_Toc29403_WPSOffice_Level3"/>
      <w:bookmarkStart w:id="995" w:name="_Toc20130"/>
      <w:bookmarkStart w:id="996" w:name="_Toc4197"/>
      <w:bookmarkStart w:id="997" w:name="_Toc11957"/>
      <w:bookmarkStart w:id="998" w:name="_Toc17401"/>
      <w:bookmarkStart w:id="999" w:name="_Toc24155"/>
      <w:bookmarkStart w:id="1000" w:name="_Toc18370"/>
      <w:bookmarkStart w:id="1001" w:name="_Toc17760"/>
      <w:bookmarkStart w:id="1002" w:name="_Toc13371"/>
      <w:bookmarkStart w:id="1003" w:name="_Toc16779"/>
      <w:bookmarkStart w:id="1004" w:name="_Toc10549"/>
      <w:r>
        <w:rPr>
          <w:rFonts w:hint="eastAsia" w:ascii="宋体" w:hAnsi="宋体" w:cs="宋体"/>
        </w:rPr>
        <w:t>一、</w:t>
      </w:r>
      <w:bookmarkEnd w:id="957"/>
      <w:r>
        <w:rPr>
          <w:rFonts w:hint="eastAsia" w:ascii="宋体" w:hAnsi="宋体" w:cs="宋体"/>
        </w:rPr>
        <w:t>投标函</w:t>
      </w:r>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p>
    <w:p w14:paraId="5FBA2518">
      <w:pPr>
        <w:spacing w:line="360" w:lineRule="auto"/>
        <w:rPr>
          <w:rFonts w:ascii="宋体" w:hAnsi="宋体" w:cs="宋体"/>
          <w:sz w:val="21"/>
          <w:szCs w:val="21"/>
          <w:u w:val="single"/>
        </w:rPr>
      </w:pPr>
      <w:r>
        <w:rPr>
          <w:rFonts w:hint="eastAsia" w:ascii="宋体" w:hAnsi="宋体" w:cs="宋体"/>
          <w:sz w:val="21"/>
          <w:szCs w:val="21"/>
        </w:rPr>
        <w:t>致：</w:t>
      </w:r>
      <w:r>
        <w:rPr>
          <w:rFonts w:hint="eastAsia" w:ascii="宋体" w:hAnsi="宋体" w:cs="宋体"/>
          <w:sz w:val="21"/>
          <w:szCs w:val="21"/>
          <w:u w:val="single"/>
        </w:rPr>
        <w:t>采购人</w:t>
      </w:r>
    </w:p>
    <w:p w14:paraId="17352797">
      <w:pPr>
        <w:spacing w:line="360" w:lineRule="auto"/>
        <w:ind w:right="-175" w:rightChars="-73" w:firstLine="420" w:firstLineChars="200"/>
        <w:rPr>
          <w:rFonts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u w:val="single"/>
        </w:rPr>
        <w:t xml:space="preserve"> </w:t>
      </w:r>
      <w:r>
        <w:rPr>
          <w:rFonts w:hint="eastAsia" w:ascii="宋体" w:hAnsi="宋体" w:cs="宋体"/>
          <w:sz w:val="21"/>
          <w:szCs w:val="21"/>
          <w:u w:val="single"/>
          <w:lang w:eastAsia="zh-CN"/>
        </w:rPr>
        <w:t>（供应商</w:t>
      </w:r>
      <w:r>
        <w:rPr>
          <w:rFonts w:hint="eastAsia" w:ascii="宋体" w:hAnsi="宋体" w:cs="宋体"/>
          <w:sz w:val="21"/>
          <w:szCs w:val="21"/>
          <w:u w:val="single"/>
        </w:rPr>
        <w:t>全称</w:t>
      </w:r>
      <w:r>
        <w:rPr>
          <w:rFonts w:hint="eastAsia" w:ascii="宋体" w:hAnsi="宋体" w:cs="宋体"/>
          <w:sz w:val="21"/>
          <w:szCs w:val="21"/>
          <w:u w:val="single"/>
          <w:lang w:eastAsia="zh-CN"/>
        </w:rPr>
        <w:t>）</w:t>
      </w:r>
      <w:r>
        <w:rPr>
          <w:rFonts w:hint="eastAsia" w:ascii="宋体" w:hAnsi="宋体" w:cs="宋体"/>
          <w:sz w:val="21"/>
          <w:szCs w:val="21"/>
          <w:u w:val="single"/>
        </w:rPr>
        <w:t xml:space="preserve">   </w:t>
      </w:r>
      <w:r>
        <w:rPr>
          <w:rFonts w:hint="eastAsia" w:ascii="宋体" w:hAnsi="宋体" w:cs="宋体"/>
          <w:sz w:val="21"/>
          <w:szCs w:val="21"/>
        </w:rPr>
        <w:t>授权</w:t>
      </w:r>
      <w:r>
        <w:rPr>
          <w:rFonts w:hint="eastAsia" w:ascii="宋体" w:hAnsi="宋体" w:cs="宋体"/>
          <w:sz w:val="21"/>
          <w:szCs w:val="21"/>
          <w:u w:val="single"/>
        </w:rPr>
        <w:t xml:space="preserve">   </w:t>
      </w:r>
      <w:r>
        <w:rPr>
          <w:rFonts w:hint="eastAsia" w:ascii="宋体" w:hAnsi="宋体" w:cs="宋体"/>
          <w:sz w:val="21"/>
          <w:szCs w:val="21"/>
          <w:u w:val="single"/>
          <w:lang w:eastAsia="zh-CN"/>
        </w:rPr>
        <w:t>（供应商</w:t>
      </w:r>
      <w:r>
        <w:rPr>
          <w:rFonts w:hint="eastAsia" w:ascii="宋体" w:hAnsi="宋体" w:cs="宋体"/>
          <w:sz w:val="21"/>
          <w:szCs w:val="21"/>
          <w:u w:val="single"/>
        </w:rPr>
        <w:t>代表姓名</w:t>
      </w:r>
      <w:r>
        <w:rPr>
          <w:rFonts w:hint="eastAsia" w:ascii="宋体" w:hAnsi="宋体" w:cs="宋体"/>
          <w:sz w:val="21"/>
          <w:szCs w:val="21"/>
          <w:u w:val="single"/>
          <w:lang w:eastAsia="zh-CN"/>
        </w:rPr>
        <w:t>）</w:t>
      </w:r>
      <w:r>
        <w:rPr>
          <w:rFonts w:hint="eastAsia" w:ascii="宋体" w:hAnsi="宋体" w:cs="宋体"/>
          <w:sz w:val="21"/>
          <w:szCs w:val="21"/>
          <w:u w:val="single"/>
        </w:rPr>
        <w:t xml:space="preserve">  </w:t>
      </w:r>
      <w:r>
        <w:rPr>
          <w:rFonts w:hint="eastAsia" w:ascii="宋体" w:hAnsi="宋体" w:cs="宋体"/>
          <w:sz w:val="21"/>
          <w:szCs w:val="21"/>
        </w:rPr>
        <w:t>为我方代表，参加贵方组织的</w:t>
      </w:r>
      <w:r>
        <w:rPr>
          <w:rFonts w:hint="eastAsia" w:ascii="宋体" w:hAnsi="宋体" w:cs="宋体"/>
          <w:sz w:val="21"/>
          <w:szCs w:val="21"/>
          <w:u w:val="single"/>
        </w:rPr>
        <w:t xml:space="preserve">  （项目名称）  </w:t>
      </w:r>
      <w:r>
        <w:rPr>
          <w:rFonts w:hint="eastAsia" w:ascii="宋体" w:hAnsi="宋体" w:cs="宋体"/>
          <w:sz w:val="21"/>
          <w:szCs w:val="21"/>
        </w:rPr>
        <w:t>的有关活动，并对此项目进行投标。为此：</w:t>
      </w:r>
    </w:p>
    <w:p w14:paraId="4261F75D">
      <w:pPr>
        <w:spacing w:line="360" w:lineRule="auto"/>
        <w:ind w:firstLine="420" w:firstLineChars="200"/>
        <w:rPr>
          <w:rFonts w:ascii="宋体" w:hAnsi="宋体" w:cs="宋体"/>
          <w:sz w:val="21"/>
          <w:szCs w:val="21"/>
        </w:rPr>
      </w:pPr>
      <w:r>
        <w:rPr>
          <w:rFonts w:hint="eastAsia" w:ascii="宋体" w:hAnsi="宋体" w:cs="宋体"/>
          <w:sz w:val="21"/>
          <w:szCs w:val="21"/>
        </w:rPr>
        <w:t>1.我方同意在本项目招标文件中规定的</w:t>
      </w:r>
      <w:r>
        <w:rPr>
          <w:rFonts w:hint="eastAsia" w:ascii="宋体" w:hAnsi="宋体" w:cs="宋体"/>
          <w:sz w:val="21"/>
          <w:szCs w:val="21"/>
          <w:u w:val="single"/>
        </w:rPr>
        <w:t xml:space="preserve">  90  </w:t>
      </w:r>
      <w:r>
        <w:rPr>
          <w:rFonts w:hint="eastAsia" w:ascii="宋体" w:hAnsi="宋体" w:cs="宋体"/>
          <w:sz w:val="21"/>
          <w:szCs w:val="21"/>
        </w:rPr>
        <w:t xml:space="preserve"> 日历天投标有效期内遵守本投标文件中的承诺且在此期限期满之前均具有约束力。</w:t>
      </w:r>
    </w:p>
    <w:p w14:paraId="0220A309">
      <w:pPr>
        <w:spacing w:line="360" w:lineRule="auto"/>
        <w:ind w:firstLine="420" w:firstLineChars="200"/>
        <w:rPr>
          <w:rFonts w:ascii="宋体" w:hAnsi="宋体" w:cs="宋体"/>
          <w:sz w:val="21"/>
          <w:szCs w:val="21"/>
        </w:rPr>
      </w:pPr>
      <w:r>
        <w:rPr>
          <w:rFonts w:hint="eastAsia" w:ascii="宋体" w:hAnsi="宋体" w:cs="宋体"/>
          <w:sz w:val="21"/>
          <w:szCs w:val="21"/>
        </w:rPr>
        <w:t>2.提供投标须知规定的投标文件并对之负法律责任。</w:t>
      </w:r>
    </w:p>
    <w:p w14:paraId="049FBDF9">
      <w:pPr>
        <w:spacing w:line="360" w:lineRule="auto"/>
        <w:ind w:firstLine="420" w:firstLineChars="200"/>
        <w:rPr>
          <w:rFonts w:ascii="宋体" w:hAnsi="宋体" w:cs="宋体"/>
          <w:sz w:val="21"/>
          <w:szCs w:val="21"/>
          <w:u w:val="single"/>
        </w:rPr>
      </w:pPr>
      <w:r>
        <w:rPr>
          <w:rFonts w:hint="eastAsia" w:ascii="宋体" w:hAnsi="宋体" w:cs="宋体"/>
          <w:sz w:val="21"/>
          <w:szCs w:val="21"/>
        </w:rPr>
        <w:t>3.保证遵守招标文件的规定，忠实地执行双方所签订的合同，并承担合同规定的责任和义务。</w:t>
      </w:r>
    </w:p>
    <w:p w14:paraId="76592540">
      <w:pPr>
        <w:spacing w:line="360" w:lineRule="auto"/>
        <w:ind w:firstLine="420" w:firstLineChars="200"/>
        <w:rPr>
          <w:rFonts w:ascii="宋体" w:hAnsi="宋体" w:cs="宋体"/>
          <w:sz w:val="21"/>
          <w:szCs w:val="21"/>
        </w:rPr>
      </w:pPr>
      <w:r>
        <w:rPr>
          <w:rFonts w:hint="eastAsia" w:ascii="宋体" w:hAnsi="宋体" w:cs="宋体"/>
          <w:sz w:val="21"/>
          <w:szCs w:val="21"/>
        </w:rPr>
        <w:t>4.我方愿意向贵方提供任何与本项投标有关的数据、情况和技术资料。若贵方需要，我方愿意提供我方作出的一切承诺的证明材料。</w:t>
      </w:r>
    </w:p>
    <w:p w14:paraId="5DD77DED">
      <w:pPr>
        <w:spacing w:line="360" w:lineRule="auto"/>
        <w:ind w:firstLine="420" w:firstLineChars="200"/>
        <w:rPr>
          <w:rFonts w:ascii="宋体" w:hAnsi="宋体" w:cs="宋体"/>
          <w:sz w:val="21"/>
          <w:szCs w:val="21"/>
        </w:rPr>
      </w:pPr>
      <w:r>
        <w:rPr>
          <w:rFonts w:hint="eastAsia" w:ascii="宋体" w:hAnsi="宋体" w:cs="宋体"/>
          <w:sz w:val="21"/>
          <w:szCs w:val="21"/>
        </w:rPr>
        <w:t>5.我方已详细审核全部招标文件，包括招标文件修改书（如有的话）、参考资料及有关附件，确认无误。</w:t>
      </w:r>
    </w:p>
    <w:p w14:paraId="34CA0693">
      <w:pPr>
        <w:spacing w:line="360" w:lineRule="auto"/>
        <w:ind w:firstLine="420" w:firstLineChars="200"/>
        <w:rPr>
          <w:rFonts w:ascii="宋体" w:hAnsi="宋体" w:cs="宋体"/>
          <w:sz w:val="21"/>
          <w:szCs w:val="21"/>
        </w:rPr>
      </w:pPr>
      <w:r>
        <w:rPr>
          <w:rFonts w:hint="eastAsia" w:ascii="宋体" w:hAnsi="宋体" w:cs="宋体"/>
          <w:sz w:val="21"/>
          <w:szCs w:val="21"/>
        </w:rPr>
        <w:t>6.我方承诺：招标人若需追加采购本项目招标文件相关服务的，在不改变合同其他实质性条款的前提下，按相同或更优惠的折扣率保证提供。</w:t>
      </w:r>
    </w:p>
    <w:p w14:paraId="6B558DB4">
      <w:pPr>
        <w:spacing w:line="360" w:lineRule="auto"/>
        <w:ind w:firstLine="420" w:firstLineChars="200"/>
        <w:rPr>
          <w:rFonts w:ascii="宋体" w:hAnsi="宋体" w:cs="宋体"/>
          <w:sz w:val="21"/>
          <w:szCs w:val="21"/>
        </w:rPr>
      </w:pPr>
      <w:r>
        <w:rPr>
          <w:rFonts w:hint="eastAsia" w:ascii="宋体" w:hAnsi="宋体" w:cs="宋体"/>
          <w:sz w:val="21"/>
          <w:szCs w:val="21"/>
        </w:rPr>
        <w:t>7.我方投标文件所附开标一览表中所提供的投标报价</w:t>
      </w:r>
      <w:r>
        <w:rPr>
          <w:rFonts w:hint="eastAsia" w:ascii="宋体" w:hAnsi="宋体" w:cs="宋体"/>
          <w:sz w:val="21"/>
          <w:szCs w:val="21"/>
          <w:u w:val="single"/>
        </w:rPr>
        <w:t xml:space="preserve">       元（小写）即   （大写）</w:t>
      </w:r>
      <w:r>
        <w:rPr>
          <w:rFonts w:hint="eastAsia" w:ascii="宋体" w:hAnsi="宋体" w:cs="宋体"/>
          <w:sz w:val="21"/>
          <w:szCs w:val="21"/>
        </w:rPr>
        <w:t>为本项目的最终报价，包括招标文件中所有要求及其他辅助规定等。</w:t>
      </w:r>
    </w:p>
    <w:p w14:paraId="72586708">
      <w:pPr>
        <w:spacing w:line="360" w:lineRule="auto"/>
        <w:ind w:firstLine="420" w:firstLineChars="200"/>
        <w:rPr>
          <w:rFonts w:ascii="宋体" w:hAnsi="宋体" w:cs="宋体"/>
          <w:sz w:val="21"/>
          <w:szCs w:val="21"/>
        </w:rPr>
      </w:pPr>
      <w:r>
        <w:rPr>
          <w:rFonts w:hint="eastAsia" w:ascii="宋体" w:hAnsi="宋体" w:cs="宋体"/>
          <w:sz w:val="21"/>
          <w:szCs w:val="21"/>
          <w:lang w:eastAsia="zh-CN"/>
        </w:rPr>
        <w:t>8.</w:t>
      </w:r>
      <w:r>
        <w:rPr>
          <w:rFonts w:hint="eastAsia" w:ascii="宋体" w:hAnsi="宋体" w:cs="宋体"/>
          <w:sz w:val="21"/>
          <w:szCs w:val="21"/>
        </w:rPr>
        <w:t>我方保证投标文件中的所有资料均为真实、有效的，如有虚假，我方承诺投标文件无效并愿承担一切责任。</w:t>
      </w:r>
    </w:p>
    <w:p w14:paraId="7BEC259C"/>
    <w:p w14:paraId="3010D511">
      <w:pPr>
        <w:pStyle w:val="12"/>
      </w:pPr>
    </w:p>
    <w:p w14:paraId="62EBCF5A">
      <w:pPr>
        <w:spacing w:line="360" w:lineRule="auto"/>
        <w:ind w:firstLine="420" w:firstLineChars="200"/>
        <w:rPr>
          <w:rFonts w:ascii="宋体" w:hAnsi="宋体" w:cs="宋体"/>
          <w:sz w:val="21"/>
          <w:szCs w:val="21"/>
        </w:rPr>
      </w:pPr>
      <w:r>
        <w:rPr>
          <w:rFonts w:hint="eastAsia" w:ascii="宋体" w:hAnsi="宋体" w:cs="宋体"/>
          <w:sz w:val="21"/>
          <w:szCs w:val="21"/>
        </w:rPr>
        <w:t>供应商：</w:t>
      </w:r>
      <w:r>
        <w:rPr>
          <w:rFonts w:hint="eastAsia" w:ascii="宋体" w:hAnsi="宋体" w:cs="宋体"/>
          <w:sz w:val="21"/>
          <w:szCs w:val="21"/>
          <w:u w:val="single"/>
        </w:rPr>
        <w:t xml:space="preserve">                           （企业电子签章） </w:t>
      </w:r>
    </w:p>
    <w:p w14:paraId="2C2CBAC7">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4F96AD91">
      <w:pPr>
        <w:wordWrap w:val="0"/>
        <w:spacing w:line="360" w:lineRule="auto"/>
        <w:ind w:right="1470" w:firstLine="420" w:firstLineChars="200"/>
        <w:jc w:val="right"/>
        <w:rPr>
          <w:rFonts w:ascii="宋体" w:hAnsi="宋体" w:cs="宋体"/>
          <w:sz w:val="21"/>
          <w:szCs w:val="21"/>
          <w:u w:val="single"/>
        </w:rPr>
      </w:pPr>
    </w:p>
    <w:p w14:paraId="61904358">
      <w:pPr>
        <w:spacing w:line="360" w:lineRule="auto"/>
        <w:ind w:right="1260" w:firstLine="420" w:firstLineChars="200"/>
        <w:jc w:val="right"/>
        <w:rPr>
          <w:rFonts w:ascii="宋体" w:hAnsi="宋体" w:cs="宋体"/>
          <w:sz w:val="21"/>
          <w:szCs w:val="21"/>
          <w:u w:val="single"/>
        </w:rPr>
      </w:pPr>
    </w:p>
    <w:p w14:paraId="445B9AFD">
      <w:pPr>
        <w:spacing w:line="360" w:lineRule="auto"/>
        <w:ind w:right="840" w:firstLine="420" w:firstLineChars="200"/>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1404E287">
      <w:pPr>
        <w:pStyle w:val="5"/>
        <w:spacing w:line="400" w:lineRule="exact"/>
        <w:ind w:firstLine="0" w:firstLineChars="0"/>
        <w:jc w:val="center"/>
        <w:rPr>
          <w:rFonts w:ascii="宋体" w:hAnsi="宋体" w:cs="宋体"/>
          <w:szCs w:val="28"/>
        </w:rPr>
      </w:pPr>
      <w:r>
        <w:rPr>
          <w:rFonts w:ascii="宋体" w:hAnsi="宋体" w:cs="宋体"/>
          <w:szCs w:val="28"/>
        </w:rPr>
        <w:br w:type="page"/>
      </w:r>
      <w:bookmarkStart w:id="1005" w:name="_Toc16755"/>
      <w:bookmarkStart w:id="1006" w:name="_Toc54032275"/>
      <w:bookmarkStart w:id="1007" w:name="_Toc10801"/>
      <w:bookmarkStart w:id="1008" w:name="_Toc30414"/>
      <w:bookmarkStart w:id="1009" w:name="_Toc15457378"/>
      <w:r>
        <w:rPr>
          <w:rFonts w:hint="eastAsia" w:ascii="宋体" w:hAnsi="宋体" w:cs="宋体"/>
          <w:szCs w:val="28"/>
        </w:rPr>
        <w:t>二、开标一览表</w:t>
      </w:r>
      <w:bookmarkEnd w:id="1005"/>
      <w:bookmarkEnd w:id="1006"/>
      <w:bookmarkEnd w:id="1007"/>
      <w:bookmarkEnd w:id="1008"/>
      <w:bookmarkEnd w:id="1009"/>
    </w:p>
    <w:tbl>
      <w:tblPr>
        <w:tblStyle w:val="29"/>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479"/>
        <w:gridCol w:w="6180"/>
      </w:tblGrid>
      <w:tr w14:paraId="7B44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31201035">
            <w:pPr>
              <w:pStyle w:val="8"/>
              <w:spacing w:line="480" w:lineRule="exact"/>
              <w:ind w:firstLine="0"/>
              <w:jc w:val="center"/>
              <w:rPr>
                <w:rFonts w:ascii="宋体" w:hAnsi="宋体" w:cs="宋体"/>
                <w:sz w:val="21"/>
                <w:szCs w:val="21"/>
              </w:rPr>
            </w:pPr>
            <w:r>
              <w:rPr>
                <w:rFonts w:hint="eastAsia" w:ascii="宋体" w:hAnsi="宋体" w:cs="宋体"/>
                <w:sz w:val="21"/>
                <w:szCs w:val="21"/>
              </w:rPr>
              <w:t>项目名称</w:t>
            </w:r>
          </w:p>
        </w:tc>
        <w:tc>
          <w:tcPr>
            <w:tcW w:w="6180" w:type="dxa"/>
            <w:vAlign w:val="center"/>
          </w:tcPr>
          <w:p w14:paraId="201650CE">
            <w:pPr>
              <w:pStyle w:val="8"/>
              <w:spacing w:line="480" w:lineRule="exact"/>
              <w:ind w:firstLine="0"/>
              <w:rPr>
                <w:rFonts w:ascii="宋体" w:hAnsi="宋体" w:cs="宋体"/>
                <w:sz w:val="21"/>
                <w:szCs w:val="21"/>
              </w:rPr>
            </w:pPr>
          </w:p>
        </w:tc>
      </w:tr>
      <w:tr w14:paraId="25F30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774B1744">
            <w:pPr>
              <w:pStyle w:val="8"/>
              <w:spacing w:line="480" w:lineRule="exact"/>
              <w:ind w:firstLine="0"/>
              <w:jc w:val="center"/>
              <w:rPr>
                <w:rFonts w:ascii="宋体" w:hAnsi="宋体" w:cs="宋体"/>
                <w:sz w:val="21"/>
                <w:szCs w:val="21"/>
              </w:rPr>
            </w:pPr>
            <w:r>
              <w:rPr>
                <w:rFonts w:hint="eastAsia" w:ascii="宋体" w:hAnsi="宋体" w:cs="宋体"/>
                <w:sz w:val="21"/>
                <w:szCs w:val="21"/>
                <w:lang w:eastAsia="zh-CN"/>
              </w:rPr>
              <w:t>供应商</w:t>
            </w:r>
            <w:r>
              <w:rPr>
                <w:rFonts w:hint="eastAsia" w:ascii="宋体" w:hAnsi="宋体" w:cs="宋体"/>
                <w:sz w:val="21"/>
                <w:szCs w:val="21"/>
              </w:rPr>
              <w:t>名称</w:t>
            </w:r>
          </w:p>
        </w:tc>
        <w:tc>
          <w:tcPr>
            <w:tcW w:w="6180" w:type="dxa"/>
            <w:vAlign w:val="center"/>
          </w:tcPr>
          <w:p w14:paraId="41AE4E50">
            <w:pPr>
              <w:pStyle w:val="8"/>
              <w:spacing w:line="480" w:lineRule="exact"/>
              <w:ind w:firstLine="0"/>
              <w:jc w:val="center"/>
              <w:rPr>
                <w:rFonts w:ascii="宋体" w:hAnsi="宋体" w:cs="宋体"/>
                <w:sz w:val="21"/>
                <w:szCs w:val="21"/>
              </w:rPr>
            </w:pPr>
          </w:p>
        </w:tc>
      </w:tr>
      <w:tr w14:paraId="7E5D8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02F55929">
            <w:pPr>
              <w:pStyle w:val="8"/>
              <w:spacing w:line="480" w:lineRule="exact"/>
              <w:ind w:firstLine="0"/>
              <w:jc w:val="center"/>
              <w:rPr>
                <w:rFonts w:ascii="宋体" w:hAnsi="宋体" w:cs="宋体"/>
                <w:sz w:val="21"/>
                <w:szCs w:val="21"/>
              </w:rPr>
            </w:pPr>
            <w:r>
              <w:rPr>
                <w:rFonts w:hint="eastAsia" w:ascii="宋体" w:hAnsi="宋体" w:cs="宋体"/>
                <w:sz w:val="21"/>
                <w:szCs w:val="21"/>
              </w:rPr>
              <w:t>投标报价</w:t>
            </w:r>
          </w:p>
        </w:tc>
        <w:tc>
          <w:tcPr>
            <w:tcW w:w="6180" w:type="dxa"/>
            <w:vAlign w:val="center"/>
          </w:tcPr>
          <w:p w14:paraId="2DA601C2">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大写：</w:t>
            </w:r>
          </w:p>
          <w:p w14:paraId="35499624">
            <w:pPr>
              <w:pStyle w:val="8"/>
              <w:spacing w:line="480" w:lineRule="exact"/>
              <w:ind w:firstLine="0"/>
              <w:rPr>
                <w:rFonts w:ascii="宋体" w:hAnsi="宋体" w:cs="宋体"/>
                <w:sz w:val="21"/>
                <w:szCs w:val="21"/>
                <w:u w:val="single"/>
              </w:rPr>
            </w:pPr>
            <w:r>
              <w:rPr>
                <w:rFonts w:hint="eastAsia" w:ascii="宋体" w:hAnsi="宋体" w:cs="宋体"/>
                <w:kern w:val="0"/>
                <w:sz w:val="21"/>
                <w:szCs w:val="21"/>
                <w:lang w:val="zh-CN"/>
              </w:rPr>
              <w:t>小写：</w:t>
            </w:r>
          </w:p>
        </w:tc>
      </w:tr>
      <w:tr w14:paraId="5EC55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77E32121">
            <w:pPr>
              <w:pStyle w:val="8"/>
              <w:spacing w:line="480" w:lineRule="exact"/>
              <w:ind w:firstLine="0"/>
              <w:jc w:val="center"/>
              <w:rPr>
                <w:rFonts w:ascii="宋体" w:hAnsi="宋体" w:cs="宋体"/>
                <w:sz w:val="21"/>
                <w:szCs w:val="21"/>
              </w:rPr>
            </w:pPr>
            <w:r>
              <w:rPr>
                <w:rFonts w:hint="eastAsia" w:ascii="宋体" w:hAnsi="宋体" w:cs="宋体"/>
                <w:sz w:val="21"/>
                <w:szCs w:val="21"/>
              </w:rPr>
              <w:t>供货及安装期</w:t>
            </w:r>
          </w:p>
        </w:tc>
        <w:tc>
          <w:tcPr>
            <w:tcW w:w="6180" w:type="dxa"/>
            <w:vAlign w:val="center"/>
          </w:tcPr>
          <w:p w14:paraId="3D36B27D">
            <w:pPr>
              <w:pStyle w:val="8"/>
              <w:spacing w:line="480" w:lineRule="exact"/>
              <w:ind w:firstLine="0"/>
              <w:rPr>
                <w:rFonts w:ascii="宋体" w:hAnsi="宋体" w:cs="宋体"/>
                <w:sz w:val="21"/>
                <w:szCs w:val="21"/>
              </w:rPr>
            </w:pPr>
          </w:p>
        </w:tc>
      </w:tr>
      <w:tr w14:paraId="76B24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763597F0">
            <w:pPr>
              <w:pStyle w:val="8"/>
              <w:spacing w:line="480" w:lineRule="exact"/>
              <w:ind w:firstLine="0"/>
              <w:jc w:val="center"/>
              <w:rPr>
                <w:rFonts w:ascii="宋体" w:hAnsi="宋体" w:cs="宋体"/>
                <w:color w:val="auto"/>
                <w:sz w:val="21"/>
                <w:szCs w:val="21"/>
              </w:rPr>
            </w:pPr>
            <w:r>
              <w:rPr>
                <w:rFonts w:hint="eastAsia" w:ascii="宋体" w:hAnsi="宋体" w:cs="宋体"/>
                <w:color w:val="auto"/>
                <w:sz w:val="21"/>
                <w:szCs w:val="21"/>
              </w:rPr>
              <w:t>质量</w:t>
            </w:r>
          </w:p>
        </w:tc>
        <w:tc>
          <w:tcPr>
            <w:tcW w:w="6180" w:type="dxa"/>
            <w:vAlign w:val="center"/>
          </w:tcPr>
          <w:p w14:paraId="5596387C">
            <w:pPr>
              <w:pStyle w:val="8"/>
              <w:spacing w:line="480" w:lineRule="exact"/>
              <w:ind w:firstLine="0"/>
              <w:rPr>
                <w:rFonts w:ascii="宋体" w:hAnsi="宋体" w:cs="宋体"/>
                <w:sz w:val="21"/>
                <w:szCs w:val="21"/>
              </w:rPr>
            </w:pPr>
          </w:p>
        </w:tc>
      </w:tr>
      <w:tr w14:paraId="472D6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02554F97">
            <w:pPr>
              <w:pStyle w:val="8"/>
              <w:spacing w:line="480" w:lineRule="exact"/>
              <w:ind w:firstLine="0"/>
              <w:jc w:val="center"/>
              <w:rPr>
                <w:rFonts w:ascii="宋体" w:hAnsi="宋体" w:cs="宋体"/>
                <w:color w:val="auto"/>
                <w:sz w:val="21"/>
                <w:szCs w:val="21"/>
              </w:rPr>
            </w:pPr>
            <w:r>
              <w:rPr>
                <w:rFonts w:hint="eastAsia" w:ascii="宋体" w:hAnsi="宋体" w:cs="宋体"/>
                <w:color w:val="auto"/>
                <w:sz w:val="21"/>
                <w:szCs w:val="21"/>
              </w:rPr>
              <w:t>质保期</w:t>
            </w:r>
          </w:p>
        </w:tc>
        <w:tc>
          <w:tcPr>
            <w:tcW w:w="6180" w:type="dxa"/>
            <w:vAlign w:val="center"/>
          </w:tcPr>
          <w:p w14:paraId="765AF798">
            <w:pPr>
              <w:pStyle w:val="8"/>
              <w:spacing w:line="480" w:lineRule="exact"/>
              <w:ind w:firstLine="0"/>
              <w:rPr>
                <w:rFonts w:ascii="宋体" w:hAnsi="宋体" w:cs="宋体"/>
                <w:sz w:val="21"/>
                <w:szCs w:val="21"/>
              </w:rPr>
            </w:pPr>
          </w:p>
        </w:tc>
      </w:tr>
      <w:tr w14:paraId="6D49A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18E6CC7C">
            <w:pPr>
              <w:pStyle w:val="8"/>
              <w:spacing w:line="480" w:lineRule="exact"/>
              <w:ind w:firstLine="0"/>
              <w:jc w:val="center"/>
              <w:rPr>
                <w:rFonts w:ascii="宋体" w:hAnsi="宋体" w:cs="宋体"/>
                <w:sz w:val="21"/>
                <w:szCs w:val="21"/>
              </w:rPr>
            </w:pPr>
            <w:r>
              <w:rPr>
                <w:rFonts w:hint="eastAsia" w:ascii="宋体" w:hAnsi="宋体" w:cs="宋体"/>
                <w:sz w:val="21"/>
                <w:szCs w:val="21"/>
              </w:rPr>
              <w:t>授权委托人姓名、联系电话及邮箱</w:t>
            </w:r>
          </w:p>
        </w:tc>
        <w:tc>
          <w:tcPr>
            <w:tcW w:w="6180" w:type="dxa"/>
            <w:vAlign w:val="center"/>
          </w:tcPr>
          <w:p w14:paraId="627F2DA1">
            <w:pPr>
              <w:pStyle w:val="8"/>
              <w:spacing w:line="480" w:lineRule="exact"/>
              <w:ind w:firstLine="0"/>
              <w:rPr>
                <w:rFonts w:ascii="宋体" w:hAnsi="宋体" w:cs="宋体"/>
                <w:sz w:val="21"/>
                <w:szCs w:val="21"/>
              </w:rPr>
            </w:pPr>
          </w:p>
        </w:tc>
      </w:tr>
      <w:tr w14:paraId="6876B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6" w:hRule="atLeast"/>
          <w:jc w:val="center"/>
        </w:trPr>
        <w:tc>
          <w:tcPr>
            <w:tcW w:w="3479" w:type="dxa"/>
            <w:vAlign w:val="center"/>
          </w:tcPr>
          <w:p w14:paraId="3BB45C50">
            <w:pPr>
              <w:pStyle w:val="8"/>
              <w:spacing w:line="480" w:lineRule="exact"/>
              <w:ind w:firstLine="0"/>
              <w:jc w:val="center"/>
              <w:rPr>
                <w:rFonts w:ascii="宋体" w:hAnsi="宋体" w:cs="宋体"/>
                <w:sz w:val="21"/>
                <w:szCs w:val="21"/>
              </w:rPr>
            </w:pPr>
            <w:r>
              <w:rPr>
                <w:rFonts w:hint="eastAsia" w:ascii="宋体" w:hAnsi="宋体" w:cs="宋体"/>
                <w:sz w:val="21"/>
                <w:szCs w:val="21"/>
              </w:rPr>
              <w:t>其他承诺及需要说明的事项</w:t>
            </w:r>
          </w:p>
        </w:tc>
        <w:tc>
          <w:tcPr>
            <w:tcW w:w="6180" w:type="dxa"/>
            <w:vAlign w:val="center"/>
          </w:tcPr>
          <w:p w14:paraId="2FAD03DF">
            <w:pPr>
              <w:pStyle w:val="8"/>
              <w:spacing w:line="480" w:lineRule="exact"/>
              <w:ind w:firstLine="0"/>
              <w:rPr>
                <w:rFonts w:ascii="宋体" w:hAnsi="宋体" w:cs="宋体"/>
                <w:sz w:val="21"/>
                <w:szCs w:val="21"/>
              </w:rPr>
            </w:pPr>
          </w:p>
        </w:tc>
      </w:tr>
    </w:tbl>
    <w:p w14:paraId="396F467E">
      <w:pPr>
        <w:spacing w:line="360" w:lineRule="auto"/>
        <w:rPr>
          <w:rFonts w:ascii="宋体" w:hAnsi="宋体" w:cs="宋体"/>
          <w:sz w:val="21"/>
          <w:szCs w:val="21"/>
        </w:rPr>
      </w:pPr>
    </w:p>
    <w:p w14:paraId="264DB859">
      <w:pPr>
        <w:autoSpaceDE w:val="0"/>
        <w:autoSpaceDN w:val="0"/>
        <w:spacing w:line="360" w:lineRule="auto"/>
        <w:rPr>
          <w:rFonts w:ascii="宋体" w:hAnsi="宋体" w:cs="宋体"/>
          <w:kern w:val="0"/>
          <w:sz w:val="21"/>
          <w:szCs w:val="21"/>
          <w:lang w:val="zh-CN"/>
        </w:rPr>
      </w:pPr>
    </w:p>
    <w:p w14:paraId="2AE04935">
      <w:pPr>
        <w:spacing w:line="360" w:lineRule="auto"/>
        <w:ind w:firstLine="420" w:firstLineChars="200"/>
        <w:rPr>
          <w:rFonts w:ascii="宋体" w:hAnsi="宋体" w:cs="宋体"/>
          <w:sz w:val="21"/>
          <w:szCs w:val="21"/>
        </w:rPr>
      </w:pPr>
      <w:r>
        <w:rPr>
          <w:rFonts w:hint="eastAsia" w:ascii="宋体" w:hAnsi="宋体" w:cs="宋体"/>
          <w:sz w:val="21"/>
          <w:szCs w:val="21"/>
          <w:lang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05201EA0">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564DA65C">
      <w:pPr>
        <w:spacing w:line="360" w:lineRule="auto"/>
        <w:ind w:right="1260" w:firstLine="420" w:firstLineChars="200"/>
        <w:jc w:val="right"/>
        <w:rPr>
          <w:rFonts w:ascii="宋体" w:hAnsi="宋体" w:cs="宋体"/>
          <w:sz w:val="21"/>
          <w:szCs w:val="21"/>
          <w:u w:val="single"/>
        </w:rPr>
      </w:pPr>
    </w:p>
    <w:p w14:paraId="27A9F2AC">
      <w:pPr>
        <w:spacing w:line="360" w:lineRule="auto"/>
        <w:ind w:right="1260" w:firstLine="420" w:firstLineChars="200"/>
        <w:jc w:val="right"/>
        <w:rPr>
          <w:rFonts w:ascii="宋体" w:hAnsi="宋体" w:cs="宋体"/>
          <w:sz w:val="21"/>
          <w:szCs w:val="21"/>
          <w:u w:val="single"/>
        </w:rPr>
      </w:pPr>
    </w:p>
    <w:p w14:paraId="4274864E">
      <w:pPr>
        <w:spacing w:line="360" w:lineRule="auto"/>
        <w:ind w:right="1260" w:firstLine="420" w:firstLineChars="200"/>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5B2CD311">
      <w:pPr>
        <w:spacing w:line="360" w:lineRule="auto"/>
        <w:ind w:right="1260" w:firstLine="420" w:firstLineChars="200"/>
        <w:jc w:val="right"/>
        <w:rPr>
          <w:rFonts w:ascii="宋体" w:hAnsi="宋体" w:cs="宋体"/>
          <w:sz w:val="21"/>
          <w:szCs w:val="21"/>
        </w:rPr>
      </w:pPr>
    </w:p>
    <w:p w14:paraId="594817EE">
      <w:bookmarkStart w:id="1010" w:name="_Toc22770"/>
      <w:bookmarkStart w:id="1011" w:name="_Toc28114"/>
      <w:bookmarkStart w:id="1012" w:name="_Toc20808"/>
    </w:p>
    <w:p w14:paraId="2E6BA306">
      <w:pPr>
        <w:rPr>
          <w:rFonts w:ascii="宋体" w:hAnsi="宋体" w:cs="宋体"/>
          <w:szCs w:val="28"/>
        </w:rPr>
      </w:pPr>
      <w:r>
        <w:rPr>
          <w:rFonts w:hint="eastAsia" w:ascii="宋体" w:hAnsi="宋体" w:cs="宋体"/>
          <w:szCs w:val="28"/>
        </w:rPr>
        <w:br w:type="page"/>
      </w:r>
    </w:p>
    <w:p w14:paraId="23AC3F09">
      <w:pPr>
        <w:pStyle w:val="5"/>
        <w:spacing w:line="400" w:lineRule="exact"/>
        <w:ind w:firstLine="0" w:firstLineChars="0"/>
        <w:jc w:val="center"/>
        <w:rPr>
          <w:rFonts w:ascii="宋体" w:hAnsi="宋体" w:cs="宋体"/>
        </w:rPr>
      </w:pPr>
      <w:bookmarkStart w:id="1013" w:name="_Toc2404"/>
      <w:bookmarkStart w:id="1014" w:name="_Toc17980"/>
      <w:r>
        <w:rPr>
          <w:rFonts w:hint="eastAsia" w:ascii="宋体" w:hAnsi="宋体" w:cs="宋体"/>
          <w:szCs w:val="28"/>
        </w:rPr>
        <w:t>三、</w:t>
      </w:r>
      <w:r>
        <w:rPr>
          <w:rFonts w:hint="eastAsia"/>
          <w:szCs w:val="28"/>
        </w:rPr>
        <w:t>法定代表人身份证明和授权委托书</w:t>
      </w:r>
      <w:bookmarkEnd w:id="1013"/>
      <w:bookmarkEnd w:id="1014"/>
    </w:p>
    <w:bookmarkEnd w:id="1010"/>
    <w:p w14:paraId="1863CBCD">
      <w:pPr>
        <w:spacing w:line="360" w:lineRule="auto"/>
        <w:jc w:val="left"/>
        <w:rPr>
          <w:b/>
          <w:szCs w:val="28"/>
        </w:rPr>
      </w:pPr>
    </w:p>
    <w:p w14:paraId="5028571A">
      <w:pPr>
        <w:spacing w:line="360" w:lineRule="auto"/>
        <w:jc w:val="center"/>
        <w:rPr>
          <w:b/>
          <w:szCs w:val="28"/>
        </w:rPr>
      </w:pPr>
      <w:r>
        <w:rPr>
          <w:rFonts w:hint="eastAsia"/>
          <w:b/>
          <w:szCs w:val="28"/>
        </w:rPr>
        <w:t>法定代表人身份证明</w:t>
      </w:r>
    </w:p>
    <w:p w14:paraId="6C2290BA">
      <w:pPr>
        <w:spacing w:line="360" w:lineRule="auto"/>
        <w:ind w:firstLine="480" w:firstLineChars="200"/>
        <w:rPr>
          <w:rFonts w:ascii="宋体" w:hAnsi="宋体"/>
          <w:szCs w:val="28"/>
        </w:rPr>
      </w:pPr>
    </w:p>
    <w:p w14:paraId="5D2520F7">
      <w:pPr>
        <w:spacing w:line="360" w:lineRule="auto"/>
        <w:ind w:firstLine="420" w:firstLineChars="200"/>
        <w:rPr>
          <w:rFonts w:ascii="宋体" w:hAnsi="宋体"/>
          <w:sz w:val="21"/>
          <w:szCs w:val="21"/>
        </w:rPr>
      </w:pPr>
      <w:r>
        <w:rPr>
          <w:rFonts w:hint="eastAsia" w:ascii="宋体" w:hAnsi="宋体"/>
          <w:sz w:val="21"/>
          <w:szCs w:val="21"/>
        </w:rPr>
        <w:t>供应商名称：</w:t>
      </w:r>
      <w:r>
        <w:rPr>
          <w:rFonts w:hint="eastAsia" w:ascii="宋体" w:hAnsi="宋体"/>
          <w:sz w:val="21"/>
          <w:szCs w:val="21"/>
          <w:u w:val="single"/>
        </w:rPr>
        <w:t xml:space="preserve">                                </w:t>
      </w:r>
      <w:r>
        <w:rPr>
          <w:rFonts w:hint="eastAsia" w:ascii="宋体" w:hAnsi="宋体"/>
          <w:sz w:val="21"/>
          <w:szCs w:val="21"/>
        </w:rPr>
        <w:t xml:space="preserve"> </w:t>
      </w:r>
    </w:p>
    <w:p w14:paraId="2E0C5B50">
      <w:pPr>
        <w:spacing w:line="360" w:lineRule="auto"/>
        <w:ind w:firstLine="420" w:firstLineChars="200"/>
        <w:rPr>
          <w:rFonts w:ascii="宋体" w:hAnsi="宋体"/>
          <w:sz w:val="21"/>
          <w:szCs w:val="21"/>
        </w:rPr>
      </w:pPr>
      <w:r>
        <w:rPr>
          <w:rFonts w:hint="eastAsia" w:ascii="宋体" w:hAnsi="宋体"/>
          <w:sz w:val="21"/>
          <w:szCs w:val="21"/>
        </w:rPr>
        <w:t>单位性质：</w:t>
      </w:r>
      <w:r>
        <w:rPr>
          <w:rFonts w:hint="eastAsia" w:ascii="宋体" w:hAnsi="宋体"/>
          <w:sz w:val="21"/>
          <w:szCs w:val="21"/>
          <w:u w:val="single"/>
        </w:rPr>
        <w:t xml:space="preserve">                                  </w:t>
      </w:r>
      <w:r>
        <w:rPr>
          <w:rFonts w:hint="eastAsia" w:ascii="宋体" w:hAnsi="宋体"/>
          <w:sz w:val="21"/>
          <w:szCs w:val="21"/>
        </w:rPr>
        <w:t xml:space="preserve"> </w:t>
      </w:r>
    </w:p>
    <w:p w14:paraId="1E9D36EC">
      <w:pPr>
        <w:spacing w:line="360" w:lineRule="auto"/>
        <w:ind w:firstLine="420" w:firstLineChars="200"/>
        <w:rPr>
          <w:rFonts w:ascii="宋体" w:hAnsi="宋体"/>
          <w:sz w:val="21"/>
          <w:szCs w:val="21"/>
        </w:rPr>
      </w:pPr>
      <w:r>
        <w:rPr>
          <w:rFonts w:hint="eastAsia" w:ascii="宋体" w:hAnsi="宋体"/>
          <w:sz w:val="21"/>
          <w:szCs w:val="21"/>
        </w:rPr>
        <w:t>地址：</w:t>
      </w:r>
      <w:r>
        <w:rPr>
          <w:rFonts w:hint="eastAsia" w:ascii="宋体" w:hAnsi="宋体"/>
          <w:sz w:val="21"/>
          <w:szCs w:val="21"/>
          <w:u w:val="single"/>
        </w:rPr>
        <w:t xml:space="preserve">                                     </w:t>
      </w:r>
      <w:r>
        <w:rPr>
          <w:rFonts w:hint="eastAsia" w:ascii="宋体" w:hAnsi="宋体"/>
          <w:sz w:val="21"/>
          <w:szCs w:val="21"/>
        </w:rPr>
        <w:t xml:space="preserve"> </w:t>
      </w:r>
    </w:p>
    <w:p w14:paraId="5921D288">
      <w:pPr>
        <w:spacing w:line="360" w:lineRule="auto"/>
        <w:ind w:firstLine="420" w:firstLineChars="200"/>
        <w:rPr>
          <w:rFonts w:ascii="宋体" w:hAnsi="宋体"/>
          <w:sz w:val="21"/>
          <w:szCs w:val="21"/>
        </w:rPr>
      </w:pPr>
      <w:r>
        <w:rPr>
          <w:rFonts w:hint="eastAsia" w:ascii="宋体" w:hAnsi="宋体"/>
          <w:sz w:val="21"/>
          <w:szCs w:val="21"/>
        </w:rPr>
        <w:t>成立时间：</w:t>
      </w:r>
      <w:r>
        <w:rPr>
          <w:rFonts w:hint="eastAsia" w:ascii="宋体" w:hAnsi="宋体"/>
          <w:sz w:val="21"/>
          <w:szCs w:val="21"/>
          <w:u w:val="single"/>
        </w:rPr>
        <w:t xml:space="preserve">        </w:t>
      </w:r>
      <w:r>
        <w:rPr>
          <w:rFonts w:hint="eastAsia" w:ascii="宋体" w:hAnsi="宋体"/>
          <w:sz w:val="21"/>
          <w:szCs w:val="21"/>
        </w:rPr>
        <w:t>年</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14:paraId="4BEBB05C">
      <w:pPr>
        <w:spacing w:line="360" w:lineRule="auto"/>
        <w:ind w:firstLine="420" w:firstLineChars="200"/>
        <w:rPr>
          <w:rFonts w:ascii="宋体" w:hAnsi="宋体"/>
          <w:sz w:val="21"/>
          <w:szCs w:val="21"/>
        </w:rPr>
      </w:pPr>
      <w:r>
        <w:rPr>
          <w:rFonts w:hint="eastAsia" w:ascii="宋体" w:hAnsi="宋体"/>
          <w:sz w:val="21"/>
          <w:szCs w:val="21"/>
        </w:rPr>
        <w:t>经营期限：</w:t>
      </w:r>
      <w:r>
        <w:rPr>
          <w:rFonts w:hint="eastAsia" w:ascii="宋体" w:hAnsi="宋体"/>
          <w:sz w:val="21"/>
          <w:szCs w:val="21"/>
          <w:u w:val="single"/>
        </w:rPr>
        <w:t xml:space="preserve">                                </w:t>
      </w:r>
      <w:r>
        <w:rPr>
          <w:rFonts w:hint="eastAsia" w:ascii="宋体" w:hAnsi="宋体"/>
          <w:sz w:val="21"/>
          <w:szCs w:val="21"/>
        </w:rPr>
        <w:t xml:space="preserve"> </w:t>
      </w:r>
    </w:p>
    <w:p w14:paraId="3947C10F">
      <w:pPr>
        <w:spacing w:line="360" w:lineRule="auto"/>
        <w:ind w:firstLine="420" w:firstLineChars="200"/>
        <w:rPr>
          <w:rFonts w:ascii="宋体" w:hAnsi="宋体"/>
          <w:sz w:val="21"/>
          <w:szCs w:val="21"/>
        </w:rPr>
      </w:pPr>
      <w:r>
        <w:rPr>
          <w:rFonts w:hint="eastAsia" w:ascii="宋体" w:hAnsi="宋体"/>
          <w:sz w:val="21"/>
          <w:szCs w:val="21"/>
        </w:rPr>
        <w:t>姓名：</w:t>
      </w:r>
      <w:r>
        <w:rPr>
          <w:rFonts w:hint="eastAsia" w:ascii="宋体" w:hAnsi="宋体"/>
          <w:sz w:val="21"/>
          <w:szCs w:val="21"/>
          <w:u w:val="single"/>
        </w:rPr>
        <w:t xml:space="preserve">           </w:t>
      </w:r>
      <w:r>
        <w:rPr>
          <w:rFonts w:hint="eastAsia" w:ascii="宋体" w:hAnsi="宋体"/>
          <w:sz w:val="21"/>
          <w:szCs w:val="21"/>
        </w:rPr>
        <w:t>性别：</w:t>
      </w:r>
      <w:r>
        <w:rPr>
          <w:rFonts w:hint="eastAsia" w:ascii="宋体" w:hAnsi="宋体"/>
          <w:sz w:val="21"/>
          <w:szCs w:val="21"/>
          <w:u w:val="single"/>
        </w:rPr>
        <w:t xml:space="preserve">        </w:t>
      </w:r>
      <w:r>
        <w:rPr>
          <w:rFonts w:hint="eastAsia" w:ascii="宋体" w:hAnsi="宋体"/>
          <w:sz w:val="21"/>
          <w:szCs w:val="21"/>
        </w:rPr>
        <w:t>年龄：</w:t>
      </w:r>
      <w:r>
        <w:rPr>
          <w:rFonts w:hint="eastAsia" w:ascii="宋体" w:hAnsi="宋体"/>
          <w:sz w:val="21"/>
          <w:szCs w:val="21"/>
          <w:u w:val="single"/>
        </w:rPr>
        <w:t xml:space="preserve">     </w:t>
      </w:r>
      <w:r>
        <w:rPr>
          <w:rFonts w:hint="eastAsia" w:ascii="宋体" w:hAnsi="宋体"/>
          <w:sz w:val="21"/>
          <w:szCs w:val="21"/>
        </w:rPr>
        <w:t>职务：</w:t>
      </w:r>
      <w:r>
        <w:rPr>
          <w:rFonts w:hint="eastAsia" w:ascii="宋体" w:hAnsi="宋体"/>
          <w:sz w:val="21"/>
          <w:szCs w:val="21"/>
          <w:u w:val="single"/>
        </w:rPr>
        <w:t xml:space="preserve">       </w:t>
      </w:r>
      <w:r>
        <w:rPr>
          <w:rFonts w:hint="eastAsia" w:ascii="宋体" w:hAnsi="宋体"/>
          <w:sz w:val="21"/>
          <w:szCs w:val="21"/>
        </w:rPr>
        <w:t>_</w:t>
      </w:r>
    </w:p>
    <w:p w14:paraId="7FE989F0">
      <w:pPr>
        <w:spacing w:line="360" w:lineRule="auto"/>
        <w:ind w:firstLine="420" w:firstLineChars="200"/>
        <w:rPr>
          <w:rFonts w:ascii="宋体" w:hAnsi="宋体"/>
          <w:sz w:val="21"/>
          <w:szCs w:val="21"/>
        </w:rPr>
      </w:pPr>
      <w:r>
        <w:rPr>
          <w:rFonts w:hint="eastAsia" w:ascii="宋体" w:hAnsi="宋体"/>
          <w:sz w:val="21"/>
          <w:szCs w:val="21"/>
        </w:rPr>
        <w:t>系</w:t>
      </w:r>
      <w:r>
        <w:rPr>
          <w:rFonts w:hint="eastAsia" w:ascii="宋体" w:hAnsi="宋体"/>
          <w:sz w:val="21"/>
          <w:szCs w:val="21"/>
          <w:u w:val="single"/>
        </w:rPr>
        <w:t xml:space="preserve">                                </w:t>
      </w:r>
      <w:r>
        <w:rPr>
          <w:rFonts w:hint="eastAsia" w:ascii="宋体" w:hAnsi="宋体"/>
          <w:sz w:val="21"/>
          <w:szCs w:val="21"/>
        </w:rPr>
        <w:t>（供应商名称）的法定代表人。</w:t>
      </w:r>
    </w:p>
    <w:p w14:paraId="64AC35B5">
      <w:pPr>
        <w:spacing w:line="360" w:lineRule="auto"/>
        <w:ind w:firstLine="840" w:firstLineChars="400"/>
        <w:rPr>
          <w:rFonts w:ascii="宋体" w:hAnsi="宋体"/>
          <w:sz w:val="21"/>
          <w:szCs w:val="21"/>
        </w:rPr>
      </w:pPr>
      <w:r>
        <w:rPr>
          <w:rFonts w:hint="eastAsia" w:ascii="宋体" w:hAnsi="宋体"/>
          <w:sz w:val="21"/>
          <w:szCs w:val="21"/>
        </w:rPr>
        <w:t>特此证明。</w:t>
      </w:r>
    </w:p>
    <w:p w14:paraId="16EC796D"/>
    <w:p w14:paraId="72F1A7B5"/>
    <w:p w14:paraId="3D2EF7F8"/>
    <w:p w14:paraId="7F7938A2"/>
    <w:p w14:paraId="79F68D05"/>
    <w:p w14:paraId="00F904F9"/>
    <w:p w14:paraId="1809A393"/>
    <w:p w14:paraId="4666DF9F"/>
    <w:p w14:paraId="0EA84240"/>
    <w:p w14:paraId="796BC8D3">
      <w:pPr>
        <w:spacing w:line="360" w:lineRule="auto"/>
        <w:ind w:firstLine="420" w:firstLineChars="200"/>
        <w:rPr>
          <w:rFonts w:ascii="宋体" w:hAnsi="宋体" w:cs="宋体"/>
          <w:sz w:val="21"/>
          <w:szCs w:val="21"/>
        </w:rPr>
      </w:pPr>
      <w:r>
        <w:rPr>
          <w:rFonts w:hint="eastAsia" w:ascii="宋体" w:hAnsi="宋体" w:cs="宋体"/>
          <w:sz w:val="21"/>
          <w:szCs w:val="21"/>
          <w:lang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7C73E15E">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044128FA">
      <w:pPr>
        <w:spacing w:line="360" w:lineRule="auto"/>
        <w:ind w:right="1260" w:firstLine="420" w:firstLineChars="200"/>
        <w:jc w:val="right"/>
        <w:rPr>
          <w:rFonts w:ascii="宋体" w:hAnsi="宋体" w:cs="宋体"/>
          <w:sz w:val="21"/>
          <w:szCs w:val="21"/>
          <w:u w:val="single"/>
        </w:rPr>
      </w:pPr>
    </w:p>
    <w:p w14:paraId="42F1AE6E">
      <w:pPr>
        <w:spacing w:line="360" w:lineRule="auto"/>
        <w:ind w:right="1260" w:firstLine="420" w:firstLineChars="200"/>
        <w:jc w:val="right"/>
        <w:rPr>
          <w:rFonts w:ascii="宋体" w:hAnsi="宋体" w:cs="宋体"/>
          <w:sz w:val="21"/>
          <w:szCs w:val="21"/>
          <w:u w:val="single"/>
        </w:rPr>
      </w:pPr>
    </w:p>
    <w:p w14:paraId="2559832D">
      <w:pPr>
        <w:spacing w:line="360" w:lineRule="auto"/>
        <w:ind w:right="1260" w:firstLine="420" w:firstLineChars="200"/>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40146B8A"/>
    <w:p w14:paraId="72C6CEB8"/>
    <w:p w14:paraId="296FAD9D"/>
    <w:p w14:paraId="4A90DA50">
      <w:pPr>
        <w:widowControl/>
        <w:jc w:val="left"/>
        <w:rPr>
          <w:b/>
          <w:sz w:val="32"/>
          <w:szCs w:val="28"/>
        </w:rPr>
      </w:pPr>
      <w:r>
        <w:rPr>
          <w:b/>
          <w:sz w:val="32"/>
          <w:szCs w:val="28"/>
        </w:rPr>
        <w:br w:type="page"/>
      </w:r>
    </w:p>
    <w:p w14:paraId="7719680B">
      <w:pPr>
        <w:spacing w:line="360" w:lineRule="auto"/>
        <w:jc w:val="center"/>
        <w:rPr>
          <w:b/>
          <w:szCs w:val="28"/>
        </w:rPr>
      </w:pPr>
      <w:r>
        <w:rPr>
          <w:rFonts w:hint="eastAsia"/>
          <w:b/>
          <w:szCs w:val="28"/>
        </w:rPr>
        <w:t>授权委托书</w:t>
      </w:r>
    </w:p>
    <w:p w14:paraId="0BE202F4">
      <w:pPr>
        <w:spacing w:line="360" w:lineRule="auto"/>
        <w:rPr>
          <w:rFonts w:ascii="宋体" w:hAnsi="宋体" w:cs="宋体"/>
          <w:sz w:val="21"/>
          <w:szCs w:val="21"/>
        </w:rPr>
      </w:pPr>
      <w:r>
        <w:rPr>
          <w:rFonts w:hint="eastAsia" w:ascii="宋体" w:hAnsi="宋体" w:cs="宋体"/>
          <w:sz w:val="21"/>
          <w:szCs w:val="21"/>
          <w:u w:val="single"/>
        </w:rPr>
        <w:t>（采购人名称）</w:t>
      </w:r>
      <w:r>
        <w:rPr>
          <w:rFonts w:hint="eastAsia" w:ascii="宋体" w:hAnsi="宋体" w:cs="宋体"/>
          <w:sz w:val="21"/>
          <w:szCs w:val="21"/>
        </w:rPr>
        <w:t xml:space="preserve">： </w:t>
      </w:r>
    </w:p>
    <w:p w14:paraId="5FC5A412">
      <w:pPr>
        <w:spacing w:line="360" w:lineRule="auto"/>
        <w:ind w:firstLine="420" w:firstLineChars="200"/>
        <w:rPr>
          <w:rFonts w:ascii="宋体" w:hAnsi="宋体" w:cs="宋体"/>
          <w:sz w:val="21"/>
          <w:szCs w:val="21"/>
          <w:u w:val="single"/>
        </w:rPr>
      </w:pPr>
      <w:r>
        <w:rPr>
          <w:rFonts w:hint="eastAsia" w:ascii="宋体" w:hAnsi="宋体" w:cs="宋体"/>
          <w:sz w:val="21"/>
          <w:szCs w:val="21"/>
        </w:rPr>
        <w:t>本授权书声明：注册于</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住址）的</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名称）法定代表人</w:t>
      </w:r>
      <w:r>
        <w:rPr>
          <w:rFonts w:hint="eastAsia" w:ascii="宋体" w:hAnsi="宋体" w:cs="宋体"/>
          <w:sz w:val="21"/>
          <w:szCs w:val="21"/>
          <w:u w:val="single"/>
        </w:rPr>
        <w:t xml:space="preserve">            </w:t>
      </w:r>
      <w:r>
        <w:rPr>
          <w:rFonts w:hint="eastAsia" w:ascii="宋体" w:hAnsi="宋体" w:cs="宋体"/>
          <w:sz w:val="21"/>
          <w:szCs w:val="21"/>
        </w:rPr>
        <w:t>（法定代表人姓名）代表本公司授权</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代表姓名）为本公司的合法代理人，就贵方组织的</w:t>
      </w:r>
      <w:r>
        <w:rPr>
          <w:rFonts w:hint="eastAsia" w:ascii="宋体" w:hAnsi="宋体" w:cs="宋体"/>
          <w:sz w:val="21"/>
          <w:szCs w:val="21"/>
          <w:u w:val="single"/>
        </w:rPr>
        <w:t xml:space="preserve">   （项目名称）    </w:t>
      </w:r>
      <w:r>
        <w:rPr>
          <w:rFonts w:hint="eastAsia" w:ascii="宋体" w:hAnsi="宋体" w:cs="宋体"/>
          <w:sz w:val="21"/>
          <w:szCs w:val="21"/>
        </w:rPr>
        <w:t>，以本公司名义处理一切与之有关的事务。</w:t>
      </w:r>
    </w:p>
    <w:p w14:paraId="0E42AC1B">
      <w:pPr>
        <w:spacing w:line="360" w:lineRule="auto"/>
        <w:ind w:firstLine="420" w:firstLineChars="200"/>
        <w:rPr>
          <w:rFonts w:ascii="宋体" w:hAnsi="宋体" w:cs="宋体"/>
          <w:sz w:val="21"/>
          <w:szCs w:val="21"/>
        </w:rPr>
      </w:pPr>
      <w:r>
        <w:rPr>
          <w:rFonts w:hint="eastAsia" w:ascii="宋体" w:hAnsi="宋体" w:cs="宋体"/>
          <w:sz w:val="21"/>
          <w:szCs w:val="21"/>
        </w:rPr>
        <w:t>本授权书授权期限</w:t>
      </w:r>
      <w:r>
        <w:rPr>
          <w:rFonts w:hint="eastAsia" w:ascii="宋体" w:hAnsi="宋体" w:cs="宋体"/>
          <w:sz w:val="21"/>
          <w:szCs w:val="21"/>
          <w:u w:val="single"/>
        </w:rPr>
        <w:t xml:space="preserve">                 </w:t>
      </w:r>
      <w:r>
        <w:rPr>
          <w:rFonts w:hint="eastAsia" w:ascii="宋体" w:hAnsi="宋体" w:cs="宋体"/>
          <w:sz w:val="21"/>
          <w:szCs w:val="21"/>
        </w:rPr>
        <w:t>，特此声明。</w:t>
      </w:r>
    </w:p>
    <w:p w14:paraId="428CE4E0">
      <w:pPr>
        <w:spacing w:line="360" w:lineRule="auto"/>
        <w:rPr>
          <w:rFonts w:ascii="宋体" w:hAnsi="宋体" w:cs="宋体"/>
          <w:sz w:val="21"/>
          <w:szCs w:val="21"/>
        </w:rPr>
      </w:pPr>
      <w:r>
        <w:rPr>
          <w:rFonts w:hint="eastAsia" w:ascii="宋体" w:hAnsi="宋体" w:cs="宋体"/>
          <w:sz w:val="21"/>
          <w:szCs w:val="21"/>
        </w:rPr>
        <w:t>附：法定代表人、委托代理人的身份证复印件。</w:t>
      </w:r>
    </w:p>
    <w:p w14:paraId="2677CF09">
      <w:pPr>
        <w:spacing w:line="360" w:lineRule="auto"/>
        <w:rPr>
          <w:rFonts w:ascii="宋体" w:hAnsi="宋体" w:cs="宋体"/>
          <w:sz w:val="21"/>
          <w:szCs w:val="21"/>
        </w:rPr>
      </w:pPr>
    </w:p>
    <w:p w14:paraId="2D2814CA">
      <w:pPr>
        <w:spacing w:line="360" w:lineRule="auto"/>
        <w:rPr>
          <w:rFonts w:ascii="宋体" w:hAnsi="宋体" w:cs="宋体"/>
          <w:sz w:val="21"/>
          <w:szCs w:val="21"/>
        </w:rPr>
      </w:pPr>
    </w:p>
    <w:p w14:paraId="6D60EEBA">
      <w:pPr>
        <w:spacing w:line="360" w:lineRule="auto"/>
        <w:rPr>
          <w:rFonts w:ascii="宋体" w:hAnsi="宋体" w:cs="宋体"/>
          <w:sz w:val="21"/>
          <w:szCs w:val="21"/>
        </w:rPr>
      </w:pPr>
    </w:p>
    <w:p w14:paraId="2793348F">
      <w:pPr>
        <w:spacing w:line="360" w:lineRule="auto"/>
        <w:ind w:firstLine="420" w:firstLineChars="200"/>
        <w:rPr>
          <w:rFonts w:ascii="宋体" w:hAnsi="宋体" w:cs="宋体"/>
          <w:sz w:val="21"/>
          <w:szCs w:val="21"/>
        </w:rPr>
      </w:pPr>
      <w:r>
        <w:rPr>
          <w:rFonts w:hint="eastAsia" w:ascii="宋体" w:hAnsi="宋体" w:cs="宋体"/>
          <w:sz w:val="21"/>
          <w:szCs w:val="21"/>
          <w:lang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1AE42F5A">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165360D2">
      <w:pPr>
        <w:spacing w:line="360" w:lineRule="auto"/>
        <w:ind w:right="1260" w:firstLine="420" w:firstLineChars="200"/>
        <w:jc w:val="right"/>
        <w:rPr>
          <w:rFonts w:ascii="宋体" w:hAnsi="宋体" w:cs="宋体"/>
          <w:sz w:val="21"/>
          <w:szCs w:val="21"/>
          <w:u w:val="single"/>
        </w:rPr>
      </w:pPr>
    </w:p>
    <w:p w14:paraId="20564DBC">
      <w:pPr>
        <w:spacing w:line="360" w:lineRule="auto"/>
        <w:ind w:right="1260" w:firstLine="420" w:firstLineChars="200"/>
        <w:jc w:val="right"/>
        <w:rPr>
          <w:rFonts w:ascii="宋体" w:hAnsi="宋体" w:cs="宋体"/>
          <w:sz w:val="21"/>
          <w:szCs w:val="21"/>
          <w:u w:val="single"/>
        </w:rPr>
      </w:pPr>
    </w:p>
    <w:p w14:paraId="19BC1BF0">
      <w:pPr>
        <w:spacing w:line="360" w:lineRule="auto"/>
        <w:ind w:right="1260" w:firstLine="420" w:firstLineChars="200"/>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1A39743A">
      <w:pPr>
        <w:rPr>
          <w:rFonts w:ascii="宋体" w:hAnsi="宋体" w:cs="宋体"/>
          <w:b/>
          <w:sz w:val="28"/>
        </w:rPr>
      </w:pPr>
      <w:r>
        <w:rPr>
          <w:rFonts w:hint="eastAsia" w:ascii="宋体" w:hAnsi="宋体"/>
          <w:b/>
          <w:szCs w:val="28"/>
        </w:rPr>
        <w:br w:type="page"/>
      </w:r>
    </w:p>
    <w:p w14:paraId="4CB2CBA8">
      <w:pPr>
        <w:widowControl/>
        <w:numPr>
          <w:ilvl w:val="0"/>
          <w:numId w:val="2"/>
        </w:numPr>
        <w:jc w:val="center"/>
        <w:outlineLvl w:val="1"/>
        <w:rPr>
          <w:rFonts w:ascii="宋体" w:hAnsi="宋体" w:cs="宋体"/>
          <w:b/>
          <w:sz w:val="28"/>
        </w:rPr>
      </w:pPr>
      <w:bookmarkStart w:id="1015" w:name="_Toc3364"/>
      <w:bookmarkStart w:id="1016" w:name="_Toc13791"/>
      <w:bookmarkStart w:id="1017" w:name="_Toc23736"/>
      <w:r>
        <w:rPr>
          <w:rFonts w:hint="eastAsia" w:ascii="宋体" w:hAnsi="宋体" w:cs="宋体"/>
          <w:b/>
          <w:sz w:val="28"/>
        </w:rPr>
        <w:t>投标货物分项报价表</w:t>
      </w:r>
      <w:bookmarkEnd w:id="1011"/>
      <w:bookmarkEnd w:id="1012"/>
      <w:bookmarkEnd w:id="1015"/>
      <w:bookmarkEnd w:id="1016"/>
      <w:bookmarkEnd w:id="1017"/>
    </w:p>
    <w:p w14:paraId="574C2571">
      <w:pPr>
        <w:pStyle w:val="12"/>
        <w:ind w:firstLine="0"/>
        <w:jc w:val="right"/>
        <w:rPr>
          <w:rFonts w:ascii="宋体" w:hAnsi="宋体" w:eastAsia="宋体" w:cs="宋体"/>
          <w:sz w:val="21"/>
          <w:szCs w:val="21"/>
        </w:rPr>
      </w:pPr>
      <w:r>
        <w:rPr>
          <w:rFonts w:hint="eastAsia" w:ascii="宋体" w:hAnsi="宋体" w:eastAsia="宋体" w:cs="宋体"/>
          <w:sz w:val="21"/>
          <w:szCs w:val="21"/>
        </w:rPr>
        <w:t>单位：元</w:t>
      </w:r>
    </w:p>
    <w:tbl>
      <w:tblPr>
        <w:tblStyle w:val="29"/>
        <w:tblW w:w="4990" w:type="pct"/>
        <w:jc w:val="center"/>
        <w:tblLayout w:type="autofit"/>
        <w:tblCellMar>
          <w:top w:w="0" w:type="dxa"/>
          <w:left w:w="28" w:type="dxa"/>
          <w:bottom w:w="0" w:type="dxa"/>
          <w:right w:w="28" w:type="dxa"/>
        </w:tblCellMar>
      </w:tblPr>
      <w:tblGrid>
        <w:gridCol w:w="675"/>
        <w:gridCol w:w="1449"/>
        <w:gridCol w:w="827"/>
        <w:gridCol w:w="1321"/>
        <w:gridCol w:w="1090"/>
        <w:gridCol w:w="679"/>
        <w:gridCol w:w="543"/>
        <w:gridCol w:w="1210"/>
        <w:gridCol w:w="1055"/>
        <w:gridCol w:w="877"/>
      </w:tblGrid>
      <w:tr w14:paraId="30DAB836">
        <w:tblPrEx>
          <w:tblCellMar>
            <w:top w:w="0" w:type="dxa"/>
            <w:left w:w="28" w:type="dxa"/>
            <w:bottom w:w="0" w:type="dxa"/>
            <w:right w:w="28" w:type="dxa"/>
          </w:tblCellMar>
        </w:tblPrEx>
        <w:trPr>
          <w:trHeight w:val="23" w:hRule="atLeast"/>
          <w:jc w:val="center"/>
        </w:trPr>
        <w:tc>
          <w:tcPr>
            <w:tcW w:w="347" w:type="pct"/>
            <w:tcBorders>
              <w:top w:val="single" w:color="000000" w:sz="8" w:space="0"/>
              <w:left w:val="single" w:color="000000" w:sz="8" w:space="0"/>
              <w:bottom w:val="single" w:color="000000" w:sz="6" w:space="0"/>
              <w:right w:val="single" w:color="000000" w:sz="6" w:space="0"/>
            </w:tcBorders>
            <w:vAlign w:val="center"/>
          </w:tcPr>
          <w:p w14:paraId="5665A5DC">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序号</w:t>
            </w:r>
          </w:p>
        </w:tc>
        <w:tc>
          <w:tcPr>
            <w:tcW w:w="745" w:type="pct"/>
            <w:tcBorders>
              <w:top w:val="single" w:color="000000" w:sz="8" w:space="0"/>
              <w:left w:val="single" w:color="000000" w:sz="6" w:space="0"/>
              <w:bottom w:val="single" w:color="000000" w:sz="6" w:space="0"/>
              <w:right w:val="single" w:color="000000" w:sz="6" w:space="0"/>
            </w:tcBorders>
            <w:vAlign w:val="center"/>
          </w:tcPr>
          <w:p w14:paraId="39DAF3B7">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ascii="宋体" w:hAnsi="宋体" w:cs="宋体"/>
                <w:sz w:val="21"/>
                <w:szCs w:val="21"/>
              </w:rPr>
              <w:t>货物名称</w:t>
            </w:r>
          </w:p>
        </w:tc>
        <w:tc>
          <w:tcPr>
            <w:tcW w:w="425" w:type="pct"/>
            <w:tcBorders>
              <w:top w:val="single" w:color="000000" w:sz="8" w:space="0"/>
              <w:left w:val="single" w:color="000000" w:sz="6" w:space="0"/>
              <w:bottom w:val="single" w:color="000000" w:sz="6" w:space="0"/>
              <w:right w:val="single" w:color="000000" w:sz="6" w:space="0"/>
            </w:tcBorders>
            <w:vAlign w:val="center"/>
          </w:tcPr>
          <w:p w14:paraId="7F0616C4">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品牌</w:t>
            </w:r>
          </w:p>
        </w:tc>
        <w:tc>
          <w:tcPr>
            <w:tcW w:w="679" w:type="pct"/>
            <w:tcBorders>
              <w:top w:val="single" w:color="000000" w:sz="8" w:space="0"/>
              <w:left w:val="single" w:color="000000" w:sz="6" w:space="0"/>
              <w:bottom w:val="single" w:color="000000" w:sz="6" w:space="0"/>
              <w:right w:val="single" w:color="000000" w:sz="6" w:space="0"/>
            </w:tcBorders>
            <w:vAlign w:val="center"/>
          </w:tcPr>
          <w:p w14:paraId="51144673">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规格型号</w:t>
            </w:r>
          </w:p>
        </w:tc>
        <w:tc>
          <w:tcPr>
            <w:tcW w:w="560" w:type="pct"/>
            <w:tcBorders>
              <w:top w:val="single" w:color="000000" w:sz="8" w:space="0"/>
              <w:left w:val="single" w:color="000000" w:sz="6" w:space="0"/>
              <w:bottom w:val="single" w:color="000000" w:sz="6" w:space="0"/>
              <w:right w:val="single" w:color="000000" w:sz="6" w:space="0"/>
            </w:tcBorders>
            <w:vAlign w:val="center"/>
          </w:tcPr>
          <w:p w14:paraId="0198BBC5">
            <w:pPr>
              <w:autoSpaceDE w:val="0"/>
              <w:autoSpaceDN w:val="0"/>
              <w:spacing w:line="480" w:lineRule="exact"/>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制造商</w:t>
            </w:r>
          </w:p>
        </w:tc>
        <w:tc>
          <w:tcPr>
            <w:tcW w:w="349" w:type="pct"/>
            <w:tcBorders>
              <w:top w:val="single" w:color="000000" w:sz="8" w:space="0"/>
              <w:left w:val="single" w:color="000000" w:sz="6" w:space="0"/>
              <w:bottom w:val="single" w:color="000000" w:sz="6" w:space="0"/>
              <w:right w:val="single" w:color="000000" w:sz="6" w:space="0"/>
            </w:tcBorders>
            <w:vAlign w:val="center"/>
          </w:tcPr>
          <w:p w14:paraId="21A5083A">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数量</w:t>
            </w:r>
          </w:p>
        </w:tc>
        <w:tc>
          <w:tcPr>
            <w:tcW w:w="279" w:type="pct"/>
            <w:tcBorders>
              <w:top w:val="single" w:color="000000" w:sz="8" w:space="0"/>
              <w:left w:val="single" w:color="000000" w:sz="6" w:space="0"/>
              <w:bottom w:val="single" w:color="000000" w:sz="6" w:space="0"/>
              <w:right w:val="single" w:color="000000" w:sz="6" w:space="0"/>
            </w:tcBorders>
            <w:vAlign w:val="center"/>
          </w:tcPr>
          <w:p w14:paraId="5B9E84E3">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单位</w:t>
            </w:r>
          </w:p>
        </w:tc>
        <w:tc>
          <w:tcPr>
            <w:tcW w:w="622" w:type="pct"/>
            <w:tcBorders>
              <w:top w:val="single" w:color="000000" w:sz="8" w:space="0"/>
              <w:left w:val="single" w:color="000000" w:sz="6" w:space="0"/>
              <w:bottom w:val="single" w:color="000000" w:sz="6" w:space="0"/>
              <w:right w:val="single" w:color="000000" w:sz="6" w:space="0"/>
            </w:tcBorders>
            <w:vAlign w:val="center"/>
          </w:tcPr>
          <w:p w14:paraId="5B2884F9">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单价（</w:t>
            </w:r>
            <w:r>
              <w:rPr>
                <w:rFonts w:hint="eastAsia" w:cs="宋体" w:asciiTheme="minorEastAsia" w:hAnsiTheme="minorEastAsia" w:eastAsiaTheme="minorEastAsia"/>
                <w:kern w:val="0"/>
                <w:sz w:val="21"/>
                <w:szCs w:val="21"/>
              </w:rPr>
              <w:t>元</w:t>
            </w:r>
            <w:r>
              <w:rPr>
                <w:rFonts w:hint="eastAsia" w:cs="宋体" w:asciiTheme="minorEastAsia" w:hAnsiTheme="minorEastAsia" w:eastAsiaTheme="minorEastAsia"/>
                <w:kern w:val="0"/>
                <w:sz w:val="21"/>
                <w:szCs w:val="21"/>
                <w:lang w:val="zh-CN"/>
              </w:rPr>
              <w:t>）</w:t>
            </w:r>
          </w:p>
        </w:tc>
        <w:tc>
          <w:tcPr>
            <w:tcW w:w="542" w:type="pct"/>
            <w:tcBorders>
              <w:top w:val="single" w:color="000000" w:sz="8" w:space="0"/>
              <w:left w:val="single" w:color="000000" w:sz="6" w:space="0"/>
              <w:bottom w:val="single" w:color="000000" w:sz="6" w:space="0"/>
              <w:right w:val="single" w:color="000000" w:sz="6" w:space="0"/>
            </w:tcBorders>
            <w:vAlign w:val="center"/>
          </w:tcPr>
          <w:p w14:paraId="40FFB96F">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合计（</w:t>
            </w:r>
            <w:r>
              <w:rPr>
                <w:rFonts w:hint="eastAsia" w:cs="宋体" w:asciiTheme="minorEastAsia" w:hAnsiTheme="minorEastAsia" w:eastAsiaTheme="minorEastAsia"/>
                <w:kern w:val="0"/>
                <w:sz w:val="21"/>
                <w:szCs w:val="21"/>
              </w:rPr>
              <w:t>元</w:t>
            </w:r>
            <w:r>
              <w:rPr>
                <w:rFonts w:hint="eastAsia" w:cs="宋体" w:asciiTheme="minorEastAsia" w:hAnsiTheme="minorEastAsia" w:eastAsiaTheme="minorEastAsia"/>
                <w:kern w:val="0"/>
                <w:sz w:val="21"/>
                <w:szCs w:val="21"/>
                <w:lang w:val="zh-CN"/>
              </w:rPr>
              <w:t>）</w:t>
            </w:r>
          </w:p>
        </w:tc>
        <w:tc>
          <w:tcPr>
            <w:tcW w:w="448" w:type="pct"/>
            <w:tcBorders>
              <w:top w:val="single" w:color="000000" w:sz="8" w:space="0"/>
              <w:left w:val="single" w:color="000000" w:sz="6" w:space="0"/>
              <w:bottom w:val="single" w:color="000000" w:sz="6" w:space="0"/>
              <w:right w:val="single" w:color="000000" w:sz="8" w:space="0"/>
            </w:tcBorders>
            <w:vAlign w:val="center"/>
          </w:tcPr>
          <w:p w14:paraId="23B25F09">
            <w:pPr>
              <w:autoSpaceDE w:val="0"/>
              <w:autoSpaceDN w:val="0"/>
              <w:spacing w:line="480" w:lineRule="exact"/>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备注</w:t>
            </w:r>
          </w:p>
        </w:tc>
      </w:tr>
      <w:tr w14:paraId="0E472465">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6B1D1326">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4C79BCFE">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4055E402">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11CA298C">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6272EE1E">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33D91DEF">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471DFAA0">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37A39029">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76449904">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57AA5138">
            <w:pPr>
              <w:autoSpaceDE w:val="0"/>
              <w:autoSpaceDN w:val="0"/>
              <w:spacing w:line="480" w:lineRule="exact"/>
              <w:jc w:val="center"/>
              <w:rPr>
                <w:rFonts w:cs="宋体" w:asciiTheme="minorEastAsia" w:hAnsiTheme="minorEastAsia" w:eastAsiaTheme="minorEastAsia"/>
                <w:kern w:val="0"/>
                <w:sz w:val="21"/>
                <w:szCs w:val="21"/>
                <w:lang w:val="zh-CN"/>
              </w:rPr>
            </w:pPr>
          </w:p>
        </w:tc>
      </w:tr>
      <w:tr w14:paraId="7A83ABF6">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25A03548">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5BACCC2B">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5C0FB9F1">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297CC72C">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5009A6F0">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2B1EC5DF">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4A5A7062">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3B5A52FA">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5707E070">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24CB9F55">
            <w:pPr>
              <w:autoSpaceDE w:val="0"/>
              <w:autoSpaceDN w:val="0"/>
              <w:spacing w:line="480" w:lineRule="exact"/>
              <w:jc w:val="center"/>
              <w:rPr>
                <w:rFonts w:cs="宋体" w:asciiTheme="minorEastAsia" w:hAnsiTheme="minorEastAsia" w:eastAsiaTheme="minorEastAsia"/>
                <w:kern w:val="0"/>
                <w:sz w:val="21"/>
                <w:szCs w:val="21"/>
                <w:lang w:val="zh-CN"/>
              </w:rPr>
            </w:pPr>
          </w:p>
        </w:tc>
      </w:tr>
      <w:tr w14:paraId="2719F1CC">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422A6E3D">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143D3AD1">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3CBF9223">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4F20BD50">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575078C8">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6556B2B6">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56B0F2CB">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4745BB2F">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2A91CE2F">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243B38FD">
            <w:pPr>
              <w:autoSpaceDE w:val="0"/>
              <w:autoSpaceDN w:val="0"/>
              <w:spacing w:line="480" w:lineRule="exact"/>
              <w:jc w:val="center"/>
              <w:rPr>
                <w:rFonts w:cs="宋体" w:asciiTheme="minorEastAsia" w:hAnsiTheme="minorEastAsia" w:eastAsiaTheme="minorEastAsia"/>
                <w:kern w:val="0"/>
                <w:sz w:val="21"/>
                <w:szCs w:val="21"/>
                <w:lang w:val="zh-CN"/>
              </w:rPr>
            </w:pPr>
          </w:p>
        </w:tc>
      </w:tr>
      <w:tr w14:paraId="330B592B">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3328866A">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6AF2B918">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405CBA45">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710569AB">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2820DC2A">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1664A979">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50168522">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0EC5DA6E">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601E4440">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3A0204A7">
            <w:pPr>
              <w:autoSpaceDE w:val="0"/>
              <w:autoSpaceDN w:val="0"/>
              <w:spacing w:line="480" w:lineRule="exact"/>
              <w:jc w:val="center"/>
              <w:rPr>
                <w:rFonts w:cs="宋体" w:asciiTheme="minorEastAsia" w:hAnsiTheme="minorEastAsia" w:eastAsiaTheme="minorEastAsia"/>
                <w:kern w:val="0"/>
                <w:sz w:val="21"/>
                <w:szCs w:val="21"/>
                <w:lang w:val="zh-CN"/>
              </w:rPr>
            </w:pPr>
          </w:p>
        </w:tc>
      </w:tr>
      <w:tr w14:paraId="4C5DEC33">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2A0C421B">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494EC5E1">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0BD6EA77">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164467D6">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6F3805AA">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3DCD7BB5">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422B54B4">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0AFBD605">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32840E47">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5E178EDC">
            <w:pPr>
              <w:autoSpaceDE w:val="0"/>
              <w:autoSpaceDN w:val="0"/>
              <w:spacing w:line="480" w:lineRule="exact"/>
              <w:jc w:val="center"/>
              <w:rPr>
                <w:rFonts w:cs="宋体" w:asciiTheme="minorEastAsia" w:hAnsiTheme="minorEastAsia" w:eastAsiaTheme="minorEastAsia"/>
                <w:kern w:val="0"/>
                <w:sz w:val="21"/>
                <w:szCs w:val="21"/>
                <w:lang w:val="zh-CN"/>
              </w:rPr>
            </w:pPr>
          </w:p>
        </w:tc>
      </w:tr>
      <w:tr w14:paraId="5779C662">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8" w:space="0"/>
            </w:tcBorders>
            <w:vAlign w:val="center"/>
          </w:tcPr>
          <w:p w14:paraId="3105FE0E">
            <w:pPr>
              <w:autoSpaceDE w:val="0"/>
              <w:autoSpaceDN w:val="0"/>
              <w:spacing w:line="480" w:lineRule="exact"/>
              <w:ind w:firstLine="840" w:firstLineChars="400"/>
              <w:rPr>
                <w:rFonts w:cs="宋体" w:asciiTheme="minorEastAsia" w:hAnsiTheme="minorEastAsia" w:eastAsiaTheme="minorEastAsia"/>
                <w:kern w:val="0"/>
                <w:sz w:val="21"/>
                <w:szCs w:val="21"/>
                <w:lang w:val="zh-CN"/>
              </w:rPr>
            </w:pPr>
          </w:p>
        </w:tc>
        <w:tc>
          <w:tcPr>
            <w:tcW w:w="4652" w:type="pct"/>
            <w:gridSpan w:val="9"/>
            <w:tcBorders>
              <w:top w:val="single" w:color="000000" w:sz="6" w:space="0"/>
              <w:left w:val="single" w:color="000000" w:sz="8" w:space="0"/>
              <w:bottom w:val="single" w:color="000000" w:sz="6" w:space="0"/>
              <w:right w:val="single" w:color="000000" w:sz="8" w:space="0"/>
            </w:tcBorders>
            <w:vAlign w:val="center"/>
          </w:tcPr>
          <w:p w14:paraId="4788E4D9">
            <w:pPr>
              <w:autoSpaceDE w:val="0"/>
              <w:autoSpaceDN w:val="0"/>
              <w:spacing w:line="480" w:lineRule="exact"/>
              <w:ind w:firstLine="840" w:firstLineChars="400"/>
              <w:rPr>
                <w:rFonts w:cs="宋体" w:asciiTheme="minorEastAsia" w:hAnsiTheme="minorEastAsia" w:eastAsiaTheme="minorEastAsia"/>
                <w:kern w:val="0"/>
                <w:sz w:val="21"/>
                <w:szCs w:val="21"/>
                <w:u w:val="single"/>
                <w:lang w:val="zh-CN"/>
              </w:rPr>
            </w:pPr>
            <w:r>
              <w:rPr>
                <w:rFonts w:hint="eastAsia" w:cs="宋体" w:asciiTheme="minorEastAsia" w:hAnsiTheme="minorEastAsia" w:eastAsiaTheme="minorEastAsia"/>
                <w:kern w:val="0"/>
                <w:sz w:val="21"/>
                <w:szCs w:val="21"/>
                <w:lang w:val="zh-CN"/>
              </w:rPr>
              <w:t>投标总价（大写）：</w:t>
            </w:r>
            <w:r>
              <w:rPr>
                <w:rFonts w:hint="eastAsia" w:cs="宋体" w:asciiTheme="minorEastAsia" w:hAnsiTheme="minorEastAsia" w:eastAsiaTheme="minorEastAsia"/>
                <w:kern w:val="0"/>
                <w:sz w:val="21"/>
                <w:szCs w:val="21"/>
                <w:u w:val="single"/>
                <w:lang w:val="zh-CN"/>
              </w:rPr>
              <w:t xml:space="preserve"> </w:t>
            </w:r>
            <w:r>
              <w:rPr>
                <w:rFonts w:cs="宋体" w:asciiTheme="minorEastAsia" w:hAnsiTheme="minorEastAsia" w:eastAsiaTheme="minorEastAsia"/>
                <w:kern w:val="0"/>
                <w:sz w:val="21"/>
                <w:szCs w:val="21"/>
                <w:u w:val="single"/>
                <w:lang w:val="zh-CN"/>
              </w:rPr>
              <w:t xml:space="preserve">             </w:t>
            </w:r>
            <w:r>
              <w:rPr>
                <w:rFonts w:cs="宋体" w:asciiTheme="minorEastAsia" w:hAnsiTheme="minorEastAsia" w:eastAsiaTheme="minorEastAsia"/>
                <w:kern w:val="0"/>
                <w:sz w:val="21"/>
                <w:szCs w:val="21"/>
                <w:lang w:val="zh-CN"/>
              </w:rPr>
              <w:t xml:space="preserve">   </w:t>
            </w:r>
            <w:r>
              <w:rPr>
                <w:rFonts w:hint="eastAsia" w:cs="宋体" w:asciiTheme="minorEastAsia" w:hAnsiTheme="minorEastAsia" w:eastAsiaTheme="minorEastAsia"/>
                <w:kern w:val="0"/>
                <w:sz w:val="21"/>
                <w:szCs w:val="21"/>
              </w:rPr>
              <w:t>¥</w:t>
            </w:r>
            <w:r>
              <w:rPr>
                <w:rFonts w:hint="eastAsia" w:cs="宋体" w:asciiTheme="minorEastAsia" w:hAnsiTheme="minorEastAsia" w:eastAsiaTheme="minorEastAsia"/>
                <w:kern w:val="0"/>
                <w:sz w:val="21"/>
                <w:szCs w:val="21"/>
                <w:u w:val="single"/>
                <w:lang w:val="zh-CN"/>
              </w:rPr>
              <w:t xml:space="preserve"> </w:t>
            </w:r>
            <w:r>
              <w:rPr>
                <w:rFonts w:cs="宋体" w:asciiTheme="minorEastAsia" w:hAnsiTheme="minorEastAsia" w:eastAsiaTheme="minorEastAsia"/>
                <w:kern w:val="0"/>
                <w:sz w:val="21"/>
                <w:szCs w:val="21"/>
                <w:u w:val="single"/>
                <w:lang w:val="zh-CN"/>
              </w:rPr>
              <w:t xml:space="preserve">                  </w:t>
            </w:r>
          </w:p>
        </w:tc>
      </w:tr>
    </w:tbl>
    <w:p w14:paraId="384FEB78">
      <w:pPr>
        <w:rPr>
          <w:sz w:val="21"/>
          <w:szCs w:val="21"/>
        </w:rPr>
      </w:pPr>
    </w:p>
    <w:p w14:paraId="033FAE5B">
      <w:pPr>
        <w:pStyle w:val="12"/>
        <w:rPr>
          <w:rFonts w:asciiTheme="minorEastAsia" w:hAnsiTheme="minorEastAsia" w:eastAsiaTheme="minorEastAsia" w:cstheme="minorEastAsia"/>
          <w:sz w:val="21"/>
          <w:szCs w:val="21"/>
        </w:rPr>
      </w:pPr>
    </w:p>
    <w:p w14:paraId="45C3DA2A">
      <w:pPr>
        <w:pStyle w:val="12"/>
        <w:rPr>
          <w:rFonts w:asciiTheme="minorEastAsia" w:hAnsiTheme="minorEastAsia" w:eastAsiaTheme="minorEastAsia" w:cstheme="minorEastAsia"/>
          <w:sz w:val="21"/>
          <w:szCs w:val="21"/>
        </w:rPr>
      </w:pPr>
    </w:p>
    <w:p w14:paraId="0281AF0E">
      <w:pPr>
        <w:pStyle w:val="12"/>
        <w:rPr>
          <w:rFonts w:asciiTheme="minorEastAsia" w:hAnsiTheme="minorEastAsia" w:eastAsiaTheme="minorEastAsia" w:cstheme="minorEastAsia"/>
          <w:sz w:val="21"/>
          <w:szCs w:val="21"/>
        </w:rPr>
      </w:pPr>
    </w:p>
    <w:p w14:paraId="6CDD5305">
      <w:pPr>
        <w:pStyle w:val="12"/>
        <w:rPr>
          <w:rFonts w:asciiTheme="minorEastAsia" w:hAnsiTheme="minorEastAsia" w:eastAsiaTheme="minorEastAsia" w:cstheme="minorEastAsia"/>
          <w:sz w:val="21"/>
          <w:szCs w:val="21"/>
        </w:rPr>
      </w:pPr>
    </w:p>
    <w:p w14:paraId="7F0590A7">
      <w:pPr>
        <w:spacing w:line="360" w:lineRule="auto"/>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u w:val="single"/>
        </w:rPr>
        <w:t xml:space="preserve">                           （企业电子签章） </w:t>
      </w:r>
    </w:p>
    <w:p w14:paraId="7BF68034">
      <w:pPr>
        <w:spacing w:line="360" w:lineRule="auto"/>
        <w:ind w:right="1260" w:firstLine="420" w:firstLineChars="200"/>
        <w:rPr>
          <w:rFonts w:asciiTheme="minorEastAsia" w:hAnsiTheme="minorEastAsia" w:eastAsiaTheme="minorEastAsia" w:cstheme="minorEastAsia"/>
          <w:sz w:val="21"/>
          <w:szCs w:val="21"/>
        </w:rPr>
      </w:pPr>
    </w:p>
    <w:p w14:paraId="23CFABC7">
      <w:pPr>
        <w:spacing w:line="360" w:lineRule="auto"/>
        <w:ind w:right="1260" w:firstLine="420" w:firstLineChars="200"/>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法定代表人或委托代理人：</w:t>
      </w:r>
      <w:r>
        <w:rPr>
          <w:rFonts w:hint="eastAsia" w:asciiTheme="minorEastAsia" w:hAnsiTheme="minorEastAsia" w:eastAsiaTheme="minorEastAsia" w:cstheme="minorEastAsia"/>
          <w:sz w:val="21"/>
          <w:szCs w:val="21"/>
          <w:u w:val="single"/>
        </w:rPr>
        <w:t xml:space="preserve">                （电子签章）   </w:t>
      </w:r>
    </w:p>
    <w:p w14:paraId="12F056A7">
      <w:pPr>
        <w:spacing w:line="360" w:lineRule="auto"/>
        <w:ind w:right="1260" w:firstLine="420" w:firstLineChars="200"/>
        <w:jc w:val="right"/>
        <w:rPr>
          <w:rFonts w:asciiTheme="minorEastAsia" w:hAnsiTheme="minorEastAsia" w:eastAsiaTheme="minorEastAsia" w:cstheme="minorEastAsia"/>
          <w:sz w:val="21"/>
          <w:szCs w:val="21"/>
          <w:u w:val="single"/>
        </w:rPr>
      </w:pPr>
    </w:p>
    <w:p w14:paraId="5F8B5DFC">
      <w:pPr>
        <w:spacing w:line="360" w:lineRule="auto"/>
        <w:ind w:right="1260" w:firstLine="420" w:firstLineChars="200"/>
        <w:jc w:val="right"/>
        <w:rPr>
          <w:rFonts w:asciiTheme="minorEastAsia" w:hAnsiTheme="minorEastAsia" w:eastAsiaTheme="minorEastAsia" w:cstheme="minorEastAsia"/>
          <w:sz w:val="21"/>
          <w:szCs w:val="21"/>
          <w:u w:val="single"/>
        </w:rPr>
      </w:pPr>
    </w:p>
    <w:p w14:paraId="2B680C9C">
      <w:pPr>
        <w:pStyle w:val="12"/>
        <w:ind w:firstLine="0"/>
        <w:jc w:val="righ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日</w:t>
      </w:r>
    </w:p>
    <w:p w14:paraId="7759675B">
      <w:pPr>
        <w:spacing w:line="360" w:lineRule="auto"/>
        <w:ind w:right="1260" w:firstLine="480" w:firstLineChars="200"/>
        <w:jc w:val="right"/>
        <w:rPr>
          <w:rFonts w:ascii="宋体" w:hAnsi="宋体" w:cs="宋体"/>
          <w:sz w:val="21"/>
          <w:szCs w:val="21"/>
        </w:rPr>
      </w:pPr>
      <w:r>
        <w:rPr>
          <w:rFonts w:hint="eastAsia" w:ascii="宋体" w:hAnsi="宋体" w:cs="宋体"/>
          <w:szCs w:val="28"/>
        </w:rPr>
        <w:br w:type="page"/>
      </w:r>
      <w:bookmarkStart w:id="1018" w:name="_Toc30889"/>
      <w:bookmarkStart w:id="1019" w:name="_Toc11838"/>
      <w:bookmarkStart w:id="1020" w:name="_Toc17549"/>
      <w:bookmarkStart w:id="1021" w:name="_Toc2809"/>
      <w:bookmarkStart w:id="1022" w:name="_Toc8838"/>
      <w:bookmarkStart w:id="1023" w:name="_Toc5830"/>
      <w:bookmarkStart w:id="1024" w:name="_Toc15573_WPSOffice_Level3"/>
      <w:bookmarkStart w:id="1025" w:name="_Toc19031"/>
      <w:bookmarkStart w:id="1026" w:name="_Toc12237"/>
      <w:bookmarkStart w:id="1027" w:name="_Toc2385"/>
      <w:bookmarkStart w:id="1028" w:name="_Toc22599"/>
      <w:bookmarkStart w:id="1029" w:name="_Toc21657"/>
      <w:bookmarkStart w:id="1030" w:name="_Toc5479"/>
      <w:bookmarkStart w:id="1031" w:name="_Toc15067"/>
      <w:bookmarkStart w:id="1032" w:name="_Toc11203"/>
      <w:bookmarkStart w:id="1033" w:name="_Toc22992"/>
      <w:bookmarkStart w:id="1034" w:name="_Toc26099"/>
      <w:bookmarkStart w:id="1035" w:name="_Toc7810"/>
      <w:bookmarkStart w:id="1036" w:name="_Toc23213"/>
      <w:bookmarkStart w:id="1037" w:name="_Toc5796"/>
      <w:bookmarkStart w:id="1038" w:name="_Toc29801"/>
    </w:p>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p w14:paraId="1E5ED6A3">
      <w:pPr>
        <w:pStyle w:val="5"/>
        <w:spacing w:line="400" w:lineRule="exact"/>
        <w:ind w:firstLine="562"/>
        <w:jc w:val="center"/>
        <w:rPr>
          <w:rFonts w:ascii="宋体" w:hAnsi="宋体" w:cs="宋体"/>
          <w:szCs w:val="28"/>
        </w:rPr>
      </w:pPr>
      <w:bookmarkStart w:id="1039" w:name="_Toc2136"/>
      <w:bookmarkStart w:id="1040" w:name="_Toc15457380"/>
      <w:bookmarkStart w:id="1041" w:name="_Toc54032277"/>
      <w:bookmarkStart w:id="1042" w:name="_Toc7354"/>
      <w:bookmarkStart w:id="1043" w:name="_Toc7151"/>
      <w:r>
        <w:rPr>
          <w:rFonts w:hint="eastAsia" w:ascii="宋体" w:hAnsi="宋体" w:cs="宋体"/>
          <w:szCs w:val="28"/>
        </w:rPr>
        <w:t>五、技术参数响应/偏离表</w:t>
      </w:r>
      <w:bookmarkEnd w:id="1039"/>
      <w:bookmarkEnd w:id="1040"/>
      <w:bookmarkEnd w:id="1041"/>
      <w:bookmarkEnd w:id="1042"/>
      <w:bookmarkEnd w:id="1043"/>
    </w:p>
    <w:tbl>
      <w:tblPr>
        <w:tblStyle w:val="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1615"/>
        <w:gridCol w:w="2646"/>
        <w:gridCol w:w="2360"/>
        <w:gridCol w:w="2442"/>
      </w:tblGrid>
      <w:tr w14:paraId="3D70F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trPr>
        <w:tc>
          <w:tcPr>
            <w:tcW w:w="425" w:type="pct"/>
            <w:vAlign w:val="center"/>
          </w:tcPr>
          <w:p w14:paraId="20609777">
            <w:pPr>
              <w:spacing w:line="432" w:lineRule="auto"/>
              <w:jc w:val="center"/>
              <w:rPr>
                <w:rFonts w:ascii="宋体" w:hAnsi="宋体" w:cs="宋体"/>
                <w:sz w:val="21"/>
                <w:szCs w:val="21"/>
              </w:rPr>
            </w:pPr>
            <w:r>
              <w:rPr>
                <w:rFonts w:hint="eastAsia" w:ascii="宋体" w:hAnsi="宋体" w:cs="宋体"/>
                <w:sz w:val="21"/>
                <w:szCs w:val="21"/>
              </w:rPr>
              <w:t>序号</w:t>
            </w:r>
          </w:p>
        </w:tc>
        <w:tc>
          <w:tcPr>
            <w:tcW w:w="815" w:type="pct"/>
            <w:vAlign w:val="center"/>
          </w:tcPr>
          <w:p w14:paraId="0354760C">
            <w:pPr>
              <w:spacing w:line="432" w:lineRule="auto"/>
              <w:jc w:val="center"/>
              <w:rPr>
                <w:rFonts w:ascii="宋体" w:hAnsi="宋体" w:cs="宋体"/>
                <w:sz w:val="21"/>
                <w:szCs w:val="21"/>
              </w:rPr>
            </w:pPr>
            <w:r>
              <w:rPr>
                <w:rFonts w:hint="eastAsia" w:ascii="宋体" w:hAnsi="宋体" w:cs="宋体"/>
                <w:sz w:val="21"/>
                <w:szCs w:val="21"/>
              </w:rPr>
              <w:t>产品名称</w:t>
            </w:r>
          </w:p>
        </w:tc>
        <w:tc>
          <w:tcPr>
            <w:tcW w:w="1335" w:type="pct"/>
            <w:vAlign w:val="center"/>
          </w:tcPr>
          <w:p w14:paraId="1EB5A336">
            <w:pPr>
              <w:spacing w:line="432" w:lineRule="auto"/>
              <w:jc w:val="center"/>
              <w:rPr>
                <w:rFonts w:ascii="宋体" w:hAnsi="宋体" w:cs="宋体"/>
                <w:sz w:val="21"/>
                <w:szCs w:val="21"/>
              </w:rPr>
            </w:pPr>
            <w:r>
              <w:rPr>
                <w:rFonts w:hint="eastAsia" w:ascii="宋体" w:hAnsi="宋体" w:cs="宋体"/>
                <w:sz w:val="21"/>
                <w:szCs w:val="21"/>
              </w:rPr>
              <w:t>招标文件技术参数要求</w:t>
            </w:r>
          </w:p>
        </w:tc>
        <w:tc>
          <w:tcPr>
            <w:tcW w:w="1191" w:type="pct"/>
            <w:vAlign w:val="center"/>
          </w:tcPr>
          <w:p w14:paraId="45764DB1">
            <w:pPr>
              <w:spacing w:line="432" w:lineRule="auto"/>
              <w:jc w:val="center"/>
              <w:rPr>
                <w:rFonts w:ascii="宋体" w:hAnsi="宋体" w:cs="宋体"/>
                <w:sz w:val="21"/>
                <w:szCs w:val="21"/>
              </w:rPr>
            </w:pPr>
            <w:r>
              <w:rPr>
                <w:rFonts w:hint="eastAsia" w:ascii="宋体" w:hAnsi="宋体" w:cs="宋体"/>
                <w:sz w:val="21"/>
                <w:szCs w:val="21"/>
              </w:rPr>
              <w:t>投标文件响应内容</w:t>
            </w:r>
          </w:p>
        </w:tc>
        <w:tc>
          <w:tcPr>
            <w:tcW w:w="1232" w:type="pct"/>
            <w:vAlign w:val="center"/>
          </w:tcPr>
          <w:p w14:paraId="7427C617">
            <w:pPr>
              <w:spacing w:line="432" w:lineRule="auto"/>
              <w:jc w:val="center"/>
              <w:rPr>
                <w:rFonts w:ascii="宋体" w:hAnsi="宋体" w:cs="宋体"/>
                <w:sz w:val="21"/>
                <w:szCs w:val="21"/>
              </w:rPr>
            </w:pPr>
            <w:r>
              <w:rPr>
                <w:rFonts w:hint="eastAsia" w:ascii="宋体" w:hAnsi="宋体" w:cs="宋体"/>
                <w:sz w:val="21"/>
                <w:szCs w:val="21"/>
              </w:rPr>
              <w:t>偏离情况说明</w:t>
            </w:r>
          </w:p>
        </w:tc>
      </w:tr>
      <w:tr w14:paraId="4A0B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425" w:type="pct"/>
          </w:tcPr>
          <w:p w14:paraId="2430C19D">
            <w:pPr>
              <w:spacing w:line="432" w:lineRule="auto"/>
              <w:rPr>
                <w:rFonts w:ascii="宋体" w:hAnsi="宋体" w:cs="宋体"/>
                <w:sz w:val="21"/>
                <w:szCs w:val="21"/>
              </w:rPr>
            </w:pPr>
          </w:p>
        </w:tc>
        <w:tc>
          <w:tcPr>
            <w:tcW w:w="815" w:type="pct"/>
          </w:tcPr>
          <w:p w14:paraId="15094385">
            <w:pPr>
              <w:spacing w:line="432" w:lineRule="auto"/>
              <w:rPr>
                <w:rFonts w:ascii="宋体" w:hAnsi="宋体" w:cs="宋体"/>
                <w:sz w:val="21"/>
                <w:szCs w:val="21"/>
              </w:rPr>
            </w:pPr>
          </w:p>
        </w:tc>
        <w:tc>
          <w:tcPr>
            <w:tcW w:w="1335" w:type="pct"/>
          </w:tcPr>
          <w:p w14:paraId="68771A93">
            <w:pPr>
              <w:spacing w:line="432" w:lineRule="auto"/>
              <w:rPr>
                <w:rFonts w:ascii="宋体" w:hAnsi="宋体" w:cs="宋体"/>
                <w:sz w:val="21"/>
                <w:szCs w:val="21"/>
              </w:rPr>
            </w:pPr>
          </w:p>
        </w:tc>
        <w:tc>
          <w:tcPr>
            <w:tcW w:w="1191" w:type="pct"/>
          </w:tcPr>
          <w:p w14:paraId="01C37934">
            <w:pPr>
              <w:spacing w:line="432" w:lineRule="auto"/>
              <w:rPr>
                <w:rFonts w:ascii="宋体" w:hAnsi="宋体" w:cs="宋体"/>
                <w:sz w:val="21"/>
                <w:szCs w:val="21"/>
              </w:rPr>
            </w:pPr>
          </w:p>
        </w:tc>
        <w:tc>
          <w:tcPr>
            <w:tcW w:w="1232" w:type="pct"/>
          </w:tcPr>
          <w:p w14:paraId="59DB69ED">
            <w:pPr>
              <w:spacing w:line="432" w:lineRule="auto"/>
              <w:rPr>
                <w:rFonts w:ascii="宋体" w:hAnsi="宋体" w:cs="宋体"/>
                <w:sz w:val="21"/>
                <w:szCs w:val="21"/>
              </w:rPr>
            </w:pPr>
          </w:p>
        </w:tc>
      </w:tr>
      <w:tr w14:paraId="5A35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331BC591">
            <w:pPr>
              <w:spacing w:line="432" w:lineRule="auto"/>
              <w:rPr>
                <w:rFonts w:ascii="宋体" w:hAnsi="宋体" w:cs="宋体"/>
                <w:sz w:val="21"/>
                <w:szCs w:val="21"/>
              </w:rPr>
            </w:pPr>
          </w:p>
        </w:tc>
        <w:tc>
          <w:tcPr>
            <w:tcW w:w="815" w:type="pct"/>
          </w:tcPr>
          <w:p w14:paraId="1BB6F870">
            <w:pPr>
              <w:spacing w:line="432" w:lineRule="auto"/>
              <w:rPr>
                <w:rFonts w:ascii="宋体" w:hAnsi="宋体" w:cs="宋体"/>
                <w:sz w:val="21"/>
                <w:szCs w:val="21"/>
              </w:rPr>
            </w:pPr>
          </w:p>
        </w:tc>
        <w:tc>
          <w:tcPr>
            <w:tcW w:w="1335" w:type="pct"/>
          </w:tcPr>
          <w:p w14:paraId="6BC57BC2">
            <w:pPr>
              <w:spacing w:line="432" w:lineRule="auto"/>
              <w:rPr>
                <w:rFonts w:ascii="宋体" w:hAnsi="宋体" w:cs="宋体"/>
                <w:sz w:val="21"/>
                <w:szCs w:val="21"/>
              </w:rPr>
            </w:pPr>
          </w:p>
        </w:tc>
        <w:tc>
          <w:tcPr>
            <w:tcW w:w="1191" w:type="pct"/>
          </w:tcPr>
          <w:p w14:paraId="3CFB0FC6">
            <w:pPr>
              <w:spacing w:line="432" w:lineRule="auto"/>
              <w:rPr>
                <w:rFonts w:ascii="宋体" w:hAnsi="宋体" w:cs="宋体"/>
                <w:sz w:val="21"/>
                <w:szCs w:val="21"/>
              </w:rPr>
            </w:pPr>
          </w:p>
        </w:tc>
        <w:tc>
          <w:tcPr>
            <w:tcW w:w="1232" w:type="pct"/>
          </w:tcPr>
          <w:p w14:paraId="406AEF2B">
            <w:pPr>
              <w:spacing w:line="432" w:lineRule="auto"/>
              <w:rPr>
                <w:rFonts w:ascii="宋体" w:hAnsi="宋体" w:cs="宋体"/>
                <w:sz w:val="21"/>
                <w:szCs w:val="21"/>
              </w:rPr>
            </w:pPr>
          </w:p>
        </w:tc>
      </w:tr>
      <w:tr w14:paraId="458B4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533D03B0">
            <w:pPr>
              <w:spacing w:line="432" w:lineRule="auto"/>
              <w:rPr>
                <w:rFonts w:ascii="宋体" w:hAnsi="宋体" w:cs="宋体"/>
                <w:sz w:val="21"/>
                <w:szCs w:val="21"/>
              </w:rPr>
            </w:pPr>
          </w:p>
        </w:tc>
        <w:tc>
          <w:tcPr>
            <w:tcW w:w="815" w:type="pct"/>
          </w:tcPr>
          <w:p w14:paraId="27122ACE">
            <w:pPr>
              <w:spacing w:line="432" w:lineRule="auto"/>
              <w:rPr>
                <w:rFonts w:ascii="宋体" w:hAnsi="宋体" w:cs="宋体"/>
                <w:sz w:val="21"/>
                <w:szCs w:val="21"/>
              </w:rPr>
            </w:pPr>
          </w:p>
        </w:tc>
        <w:tc>
          <w:tcPr>
            <w:tcW w:w="1335" w:type="pct"/>
          </w:tcPr>
          <w:p w14:paraId="52441701">
            <w:pPr>
              <w:spacing w:line="432" w:lineRule="auto"/>
              <w:rPr>
                <w:rFonts w:ascii="宋体" w:hAnsi="宋体" w:cs="宋体"/>
                <w:sz w:val="21"/>
                <w:szCs w:val="21"/>
              </w:rPr>
            </w:pPr>
          </w:p>
        </w:tc>
        <w:tc>
          <w:tcPr>
            <w:tcW w:w="1191" w:type="pct"/>
          </w:tcPr>
          <w:p w14:paraId="391D26A5">
            <w:pPr>
              <w:spacing w:line="432" w:lineRule="auto"/>
              <w:rPr>
                <w:rFonts w:ascii="宋体" w:hAnsi="宋体" w:cs="宋体"/>
                <w:sz w:val="21"/>
                <w:szCs w:val="21"/>
              </w:rPr>
            </w:pPr>
          </w:p>
        </w:tc>
        <w:tc>
          <w:tcPr>
            <w:tcW w:w="1232" w:type="pct"/>
          </w:tcPr>
          <w:p w14:paraId="2E7B863D">
            <w:pPr>
              <w:spacing w:line="432" w:lineRule="auto"/>
              <w:rPr>
                <w:rFonts w:ascii="宋体" w:hAnsi="宋体" w:cs="宋体"/>
                <w:sz w:val="21"/>
                <w:szCs w:val="21"/>
              </w:rPr>
            </w:pPr>
          </w:p>
        </w:tc>
      </w:tr>
      <w:tr w14:paraId="28028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6693F652">
            <w:pPr>
              <w:spacing w:line="432" w:lineRule="auto"/>
              <w:rPr>
                <w:rFonts w:ascii="宋体" w:hAnsi="宋体" w:cs="宋体"/>
                <w:sz w:val="21"/>
                <w:szCs w:val="21"/>
              </w:rPr>
            </w:pPr>
          </w:p>
        </w:tc>
        <w:tc>
          <w:tcPr>
            <w:tcW w:w="815" w:type="pct"/>
          </w:tcPr>
          <w:p w14:paraId="4EB5D8B1">
            <w:pPr>
              <w:spacing w:line="432" w:lineRule="auto"/>
              <w:rPr>
                <w:rFonts w:ascii="宋体" w:hAnsi="宋体" w:cs="宋体"/>
                <w:sz w:val="21"/>
                <w:szCs w:val="21"/>
              </w:rPr>
            </w:pPr>
          </w:p>
        </w:tc>
        <w:tc>
          <w:tcPr>
            <w:tcW w:w="1335" w:type="pct"/>
          </w:tcPr>
          <w:p w14:paraId="379ABDF7">
            <w:pPr>
              <w:spacing w:line="432" w:lineRule="auto"/>
              <w:rPr>
                <w:rFonts w:ascii="宋体" w:hAnsi="宋体" w:cs="宋体"/>
                <w:sz w:val="21"/>
                <w:szCs w:val="21"/>
              </w:rPr>
            </w:pPr>
          </w:p>
        </w:tc>
        <w:tc>
          <w:tcPr>
            <w:tcW w:w="1191" w:type="pct"/>
          </w:tcPr>
          <w:p w14:paraId="1593BE1E">
            <w:pPr>
              <w:spacing w:line="432" w:lineRule="auto"/>
              <w:rPr>
                <w:rFonts w:ascii="宋体" w:hAnsi="宋体" w:cs="宋体"/>
                <w:sz w:val="21"/>
                <w:szCs w:val="21"/>
              </w:rPr>
            </w:pPr>
          </w:p>
        </w:tc>
        <w:tc>
          <w:tcPr>
            <w:tcW w:w="1232" w:type="pct"/>
          </w:tcPr>
          <w:p w14:paraId="0415CE47">
            <w:pPr>
              <w:spacing w:line="432" w:lineRule="auto"/>
              <w:rPr>
                <w:rFonts w:ascii="宋体" w:hAnsi="宋体" w:cs="宋体"/>
                <w:sz w:val="21"/>
                <w:szCs w:val="21"/>
              </w:rPr>
            </w:pPr>
          </w:p>
        </w:tc>
      </w:tr>
      <w:tr w14:paraId="1C4CB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425" w:type="pct"/>
          </w:tcPr>
          <w:p w14:paraId="2FA33751">
            <w:pPr>
              <w:spacing w:line="432" w:lineRule="auto"/>
              <w:rPr>
                <w:rFonts w:ascii="宋体" w:hAnsi="宋体" w:cs="宋体"/>
                <w:sz w:val="21"/>
                <w:szCs w:val="21"/>
              </w:rPr>
            </w:pPr>
          </w:p>
        </w:tc>
        <w:tc>
          <w:tcPr>
            <w:tcW w:w="815" w:type="pct"/>
          </w:tcPr>
          <w:p w14:paraId="4884EFDD">
            <w:pPr>
              <w:spacing w:line="432" w:lineRule="auto"/>
              <w:rPr>
                <w:rFonts w:ascii="宋体" w:hAnsi="宋体" w:cs="宋体"/>
                <w:sz w:val="21"/>
                <w:szCs w:val="21"/>
              </w:rPr>
            </w:pPr>
          </w:p>
        </w:tc>
        <w:tc>
          <w:tcPr>
            <w:tcW w:w="1335" w:type="pct"/>
          </w:tcPr>
          <w:p w14:paraId="598DFB01">
            <w:pPr>
              <w:spacing w:line="432" w:lineRule="auto"/>
              <w:rPr>
                <w:rFonts w:ascii="宋体" w:hAnsi="宋体" w:cs="宋体"/>
                <w:sz w:val="21"/>
                <w:szCs w:val="21"/>
              </w:rPr>
            </w:pPr>
          </w:p>
        </w:tc>
        <w:tc>
          <w:tcPr>
            <w:tcW w:w="1191" w:type="pct"/>
          </w:tcPr>
          <w:p w14:paraId="79736138">
            <w:pPr>
              <w:spacing w:line="432" w:lineRule="auto"/>
              <w:rPr>
                <w:rFonts w:ascii="宋体" w:hAnsi="宋体" w:cs="宋体"/>
                <w:sz w:val="21"/>
                <w:szCs w:val="21"/>
              </w:rPr>
            </w:pPr>
          </w:p>
        </w:tc>
        <w:tc>
          <w:tcPr>
            <w:tcW w:w="1232" w:type="pct"/>
          </w:tcPr>
          <w:p w14:paraId="6E721F00">
            <w:pPr>
              <w:spacing w:line="432" w:lineRule="auto"/>
              <w:rPr>
                <w:rFonts w:ascii="宋体" w:hAnsi="宋体" w:cs="宋体"/>
                <w:sz w:val="21"/>
                <w:szCs w:val="21"/>
              </w:rPr>
            </w:pPr>
          </w:p>
        </w:tc>
      </w:tr>
      <w:tr w14:paraId="1F6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3BF4CCCC">
            <w:pPr>
              <w:spacing w:line="432" w:lineRule="auto"/>
              <w:rPr>
                <w:rFonts w:ascii="宋体" w:hAnsi="宋体" w:cs="宋体"/>
                <w:sz w:val="21"/>
                <w:szCs w:val="21"/>
              </w:rPr>
            </w:pPr>
          </w:p>
        </w:tc>
        <w:tc>
          <w:tcPr>
            <w:tcW w:w="815" w:type="pct"/>
          </w:tcPr>
          <w:p w14:paraId="6D1C2AB1">
            <w:pPr>
              <w:spacing w:line="432" w:lineRule="auto"/>
              <w:rPr>
                <w:rFonts w:ascii="宋体" w:hAnsi="宋体" w:cs="宋体"/>
                <w:sz w:val="21"/>
                <w:szCs w:val="21"/>
              </w:rPr>
            </w:pPr>
          </w:p>
        </w:tc>
        <w:tc>
          <w:tcPr>
            <w:tcW w:w="1335" w:type="pct"/>
          </w:tcPr>
          <w:p w14:paraId="32726AFB">
            <w:pPr>
              <w:spacing w:line="432" w:lineRule="auto"/>
              <w:rPr>
                <w:rFonts w:ascii="宋体" w:hAnsi="宋体" w:cs="宋体"/>
                <w:sz w:val="21"/>
                <w:szCs w:val="21"/>
              </w:rPr>
            </w:pPr>
          </w:p>
        </w:tc>
        <w:tc>
          <w:tcPr>
            <w:tcW w:w="1191" w:type="pct"/>
          </w:tcPr>
          <w:p w14:paraId="3656D459">
            <w:pPr>
              <w:spacing w:line="432" w:lineRule="auto"/>
              <w:rPr>
                <w:rFonts w:ascii="宋体" w:hAnsi="宋体" w:cs="宋体"/>
                <w:sz w:val="21"/>
                <w:szCs w:val="21"/>
              </w:rPr>
            </w:pPr>
          </w:p>
        </w:tc>
        <w:tc>
          <w:tcPr>
            <w:tcW w:w="1232" w:type="pct"/>
          </w:tcPr>
          <w:p w14:paraId="12AC1E01">
            <w:pPr>
              <w:spacing w:line="432" w:lineRule="auto"/>
              <w:rPr>
                <w:rFonts w:ascii="宋体" w:hAnsi="宋体" w:cs="宋体"/>
                <w:sz w:val="21"/>
                <w:szCs w:val="21"/>
              </w:rPr>
            </w:pPr>
          </w:p>
        </w:tc>
      </w:tr>
      <w:tr w14:paraId="030A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6CC1BCC3">
            <w:pPr>
              <w:spacing w:line="432" w:lineRule="auto"/>
              <w:rPr>
                <w:rFonts w:ascii="宋体" w:hAnsi="宋体" w:cs="宋体"/>
                <w:sz w:val="21"/>
                <w:szCs w:val="21"/>
              </w:rPr>
            </w:pPr>
          </w:p>
        </w:tc>
        <w:tc>
          <w:tcPr>
            <w:tcW w:w="815" w:type="pct"/>
          </w:tcPr>
          <w:p w14:paraId="7FB12C52">
            <w:pPr>
              <w:spacing w:line="432" w:lineRule="auto"/>
              <w:rPr>
                <w:rFonts w:ascii="宋体" w:hAnsi="宋体" w:cs="宋体"/>
                <w:sz w:val="21"/>
                <w:szCs w:val="21"/>
              </w:rPr>
            </w:pPr>
          </w:p>
        </w:tc>
        <w:tc>
          <w:tcPr>
            <w:tcW w:w="1335" w:type="pct"/>
          </w:tcPr>
          <w:p w14:paraId="762E0CC3">
            <w:pPr>
              <w:spacing w:line="432" w:lineRule="auto"/>
              <w:rPr>
                <w:rFonts w:ascii="宋体" w:hAnsi="宋体" w:cs="宋体"/>
                <w:sz w:val="21"/>
                <w:szCs w:val="21"/>
              </w:rPr>
            </w:pPr>
          </w:p>
        </w:tc>
        <w:tc>
          <w:tcPr>
            <w:tcW w:w="1191" w:type="pct"/>
          </w:tcPr>
          <w:p w14:paraId="1C2AA0C3">
            <w:pPr>
              <w:spacing w:line="432" w:lineRule="auto"/>
              <w:rPr>
                <w:rFonts w:ascii="宋体" w:hAnsi="宋体" w:cs="宋体"/>
                <w:sz w:val="21"/>
                <w:szCs w:val="21"/>
              </w:rPr>
            </w:pPr>
          </w:p>
        </w:tc>
        <w:tc>
          <w:tcPr>
            <w:tcW w:w="1232" w:type="pct"/>
          </w:tcPr>
          <w:p w14:paraId="733D4550">
            <w:pPr>
              <w:spacing w:line="432" w:lineRule="auto"/>
              <w:rPr>
                <w:rFonts w:ascii="宋体" w:hAnsi="宋体" w:cs="宋体"/>
                <w:sz w:val="21"/>
                <w:szCs w:val="21"/>
              </w:rPr>
            </w:pPr>
          </w:p>
        </w:tc>
      </w:tr>
    </w:tbl>
    <w:p w14:paraId="2CB87F0C">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备注：1、本表应按照</w:t>
      </w:r>
      <w:r>
        <w:rPr>
          <w:rFonts w:hint="eastAsia"/>
          <w:sz w:val="21"/>
          <w:szCs w:val="21"/>
        </w:rPr>
        <w:t>招标文件第五部分采购内容及技术参数要求中的</w:t>
      </w:r>
      <w:r>
        <w:rPr>
          <w:rFonts w:hint="eastAsia" w:ascii="宋体" w:hAnsi="宋体" w:cs="宋体"/>
          <w:kern w:val="0"/>
          <w:sz w:val="21"/>
          <w:szCs w:val="21"/>
          <w:lang w:val="zh-CN"/>
        </w:rPr>
        <w:t xml:space="preserve"> “技术参数”指标填写。</w:t>
      </w:r>
    </w:p>
    <w:p w14:paraId="3D35877C">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2.填写此表时以招标文件具体技术参数要求为基本投标要求，满足采购需求的指标需在“偏离情况说明”中列出“</w:t>
      </w:r>
      <w:r>
        <w:rPr>
          <w:rFonts w:hint="eastAsia" w:ascii="宋体" w:hAnsi="宋体" w:cs="宋体"/>
          <w:kern w:val="0"/>
          <w:sz w:val="21"/>
          <w:szCs w:val="21"/>
        </w:rPr>
        <w:t>0</w:t>
      </w:r>
      <w:r>
        <w:rPr>
          <w:rFonts w:hint="eastAsia" w:ascii="宋体" w:hAnsi="宋体" w:cs="宋体"/>
          <w:kern w:val="0"/>
          <w:sz w:val="21"/>
          <w:szCs w:val="21"/>
          <w:lang w:val="zh-CN"/>
        </w:rPr>
        <w:t>”；超出、不满足招标需求的指标需列出“+”“－”偏差，并做出详细说明；如果只注明“+”“－”或未填写，将视为该项指标不响应。</w:t>
      </w:r>
    </w:p>
    <w:p w14:paraId="753D63FE">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3、供应商响应采购需求应具体、明确，含糊不清、不确切或伪造、编造证明材料的，按照实质性不响应处理。对伪造、编造证明材料的，将报送采购监管部门查处。</w:t>
      </w:r>
    </w:p>
    <w:p w14:paraId="30728F92">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eastAsia="zh-CN"/>
        </w:rPr>
        <w:t>4.</w:t>
      </w:r>
      <w:r>
        <w:rPr>
          <w:rFonts w:hint="eastAsia" w:ascii="宋体" w:hAnsi="宋体" w:cs="宋体"/>
          <w:kern w:val="0"/>
          <w:sz w:val="21"/>
          <w:szCs w:val="21"/>
          <w:lang w:val="zh-CN"/>
        </w:rPr>
        <w:t>本表后可附技术参数说明文件或证明文件等（如有）。</w:t>
      </w:r>
    </w:p>
    <w:p w14:paraId="48CF8FA5">
      <w:pPr>
        <w:spacing w:line="360" w:lineRule="auto"/>
        <w:ind w:firstLine="420" w:firstLineChars="200"/>
        <w:rPr>
          <w:rFonts w:ascii="宋体" w:hAnsi="宋体" w:cs="宋体"/>
          <w:sz w:val="21"/>
          <w:szCs w:val="21"/>
        </w:rPr>
      </w:pPr>
    </w:p>
    <w:p w14:paraId="1AF00A29">
      <w:pPr>
        <w:spacing w:line="360" w:lineRule="auto"/>
        <w:ind w:firstLine="420" w:firstLineChars="200"/>
        <w:rPr>
          <w:rFonts w:ascii="宋体" w:hAnsi="宋体" w:cs="宋体"/>
          <w:sz w:val="21"/>
          <w:szCs w:val="21"/>
        </w:rPr>
      </w:pPr>
      <w:r>
        <w:rPr>
          <w:rFonts w:hint="eastAsia" w:ascii="宋体" w:hAnsi="宋体" w:cs="宋体"/>
          <w:sz w:val="21"/>
          <w:szCs w:val="21"/>
          <w:lang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0FC703CC">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44CFBD65">
      <w:pPr>
        <w:spacing w:line="360" w:lineRule="auto"/>
        <w:ind w:firstLine="420" w:firstLineChars="200"/>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7E0C6918">
      <w:pPr>
        <w:pStyle w:val="5"/>
        <w:spacing w:line="400" w:lineRule="exact"/>
        <w:ind w:left="0" w:leftChars="0" w:firstLine="0" w:firstLineChars="0"/>
        <w:jc w:val="center"/>
        <w:rPr>
          <w:rFonts w:ascii="宋体" w:hAnsi="宋体" w:cs="宋体"/>
          <w:szCs w:val="28"/>
        </w:rPr>
      </w:pPr>
      <w:r>
        <w:rPr>
          <w:rFonts w:ascii="宋体" w:hAnsi="宋体" w:cs="宋体"/>
          <w:szCs w:val="28"/>
        </w:rPr>
        <w:br w:type="page"/>
      </w:r>
      <w:bookmarkStart w:id="1044" w:name="_Toc54032278"/>
      <w:bookmarkStart w:id="1045" w:name="_Toc15457381"/>
      <w:bookmarkStart w:id="1046" w:name="_Toc30650"/>
      <w:bookmarkStart w:id="1047" w:name="_Toc90"/>
      <w:bookmarkStart w:id="1048" w:name="_Toc27503"/>
      <w:r>
        <w:rPr>
          <w:rFonts w:hint="eastAsia" w:ascii="宋体" w:hAnsi="宋体" w:cs="宋体"/>
          <w:szCs w:val="28"/>
        </w:rPr>
        <w:t>六、</w:t>
      </w:r>
      <w:bookmarkEnd w:id="1044"/>
      <w:bookmarkEnd w:id="1045"/>
      <w:r>
        <w:rPr>
          <w:rFonts w:hint="eastAsia" w:ascii="宋体" w:hAnsi="宋体" w:cs="宋体"/>
          <w:szCs w:val="28"/>
          <w:lang w:val="en-US" w:eastAsia="zh-CN"/>
        </w:rPr>
        <w:t>服务</w:t>
      </w:r>
      <w:r>
        <w:rPr>
          <w:rFonts w:hint="eastAsia" w:ascii="宋体" w:hAnsi="宋体" w:cs="宋体"/>
          <w:szCs w:val="28"/>
        </w:rPr>
        <w:t>方案</w:t>
      </w:r>
      <w:bookmarkEnd w:id="1046"/>
      <w:bookmarkEnd w:id="1047"/>
      <w:bookmarkEnd w:id="1048"/>
    </w:p>
    <w:p w14:paraId="6C9AAF9C">
      <w:pPr>
        <w:tabs>
          <w:tab w:val="left" w:pos="1322"/>
        </w:tabs>
        <w:spacing w:line="360" w:lineRule="auto"/>
        <w:ind w:left="420"/>
        <w:rPr>
          <w:rFonts w:ascii="宋体" w:hAnsi="宋体"/>
          <w:szCs w:val="21"/>
          <w:lang w:val="en-GB"/>
        </w:rPr>
      </w:pPr>
    </w:p>
    <w:p w14:paraId="6F14187C">
      <w:pPr>
        <w:rPr>
          <w:rFonts w:ascii="宋体" w:hAnsi="宋体" w:cs="宋体"/>
          <w:szCs w:val="28"/>
        </w:rPr>
      </w:pPr>
      <w:r>
        <w:rPr>
          <w:rFonts w:hint="eastAsia" w:ascii="宋体" w:hAnsi="宋体" w:cs="宋体"/>
          <w:szCs w:val="28"/>
        </w:rPr>
        <w:br w:type="page"/>
      </w:r>
    </w:p>
    <w:p w14:paraId="309951E0">
      <w:pPr>
        <w:pStyle w:val="5"/>
        <w:spacing w:line="380" w:lineRule="exact"/>
        <w:ind w:firstLine="0" w:firstLineChars="0"/>
        <w:jc w:val="center"/>
        <w:rPr>
          <w:rFonts w:ascii="宋体" w:hAnsi="宋体" w:cs="宋体"/>
          <w:szCs w:val="28"/>
        </w:rPr>
      </w:pPr>
      <w:bookmarkStart w:id="1049" w:name="_Toc11097"/>
      <w:bookmarkStart w:id="1050" w:name="_Toc17392"/>
      <w:bookmarkStart w:id="1051" w:name="_Toc31415"/>
      <w:bookmarkStart w:id="1052" w:name="_Toc28119"/>
      <w:r>
        <w:rPr>
          <w:rFonts w:hint="eastAsia" w:ascii="宋体" w:hAnsi="宋体" w:cs="宋体"/>
          <w:szCs w:val="28"/>
          <w:lang w:val="en-US" w:eastAsia="zh-CN"/>
        </w:rPr>
        <w:t>七</w:t>
      </w:r>
      <w:r>
        <w:rPr>
          <w:rFonts w:hint="eastAsia" w:ascii="宋体" w:hAnsi="宋体" w:cs="宋体"/>
          <w:szCs w:val="28"/>
        </w:rPr>
        <w:t>、资格证明</w:t>
      </w:r>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r>
        <w:rPr>
          <w:rFonts w:hint="eastAsia" w:ascii="宋体" w:hAnsi="宋体" w:cs="宋体"/>
          <w:szCs w:val="28"/>
        </w:rPr>
        <w:t>文件</w:t>
      </w:r>
      <w:bookmarkEnd w:id="1049"/>
      <w:bookmarkEnd w:id="1050"/>
      <w:bookmarkEnd w:id="1051"/>
      <w:bookmarkEnd w:id="1052"/>
    </w:p>
    <w:p w14:paraId="479DCD38">
      <w:pPr>
        <w:spacing w:before="326" w:beforeLines="100" w:after="163" w:afterLines="50" w:line="510" w:lineRule="exact"/>
        <w:jc w:val="center"/>
        <w:outlineLvl w:val="2"/>
        <w:rPr>
          <w:rFonts w:hint="eastAsia" w:ascii="宋体" w:hAnsi="宋体" w:eastAsia="宋体" w:cs="宋体"/>
          <w:sz w:val="21"/>
          <w:szCs w:val="21"/>
        </w:rPr>
      </w:pPr>
      <w:bookmarkStart w:id="1053" w:name="_Toc141388592"/>
      <w:bookmarkStart w:id="1054" w:name="_Toc11704"/>
      <w:bookmarkStart w:id="1055" w:name="_Toc23980"/>
      <w:bookmarkStart w:id="1056" w:name="_Toc45177874"/>
      <w:bookmarkStart w:id="1057" w:name="_Toc18629"/>
      <w:bookmarkStart w:id="1058" w:name="_Toc10504"/>
      <w:bookmarkStart w:id="1059" w:name="_Toc3975"/>
      <w:bookmarkStart w:id="1060" w:name="_Toc7776"/>
      <w:bookmarkStart w:id="1061" w:name="_Toc6344"/>
      <w:bookmarkStart w:id="1062" w:name="_Toc23547"/>
      <w:bookmarkStart w:id="1063" w:name="_Toc25801"/>
      <w:bookmarkStart w:id="1064" w:name="_Toc6545"/>
      <w:bookmarkStart w:id="1065" w:name="_Toc2550"/>
      <w:bookmarkStart w:id="1066" w:name="_Toc3967_WPSOffice_Level2"/>
      <w:bookmarkStart w:id="1067" w:name="_Toc12029"/>
      <w:bookmarkStart w:id="1068" w:name="_Toc24408"/>
      <w:bookmarkStart w:id="1069" w:name="_Toc30766_WPSOffice_Level2"/>
      <w:bookmarkStart w:id="1070" w:name="_Toc15843"/>
      <w:bookmarkStart w:id="1071" w:name="_Toc7587"/>
      <w:bookmarkStart w:id="1072" w:name="_Toc9733"/>
      <w:bookmarkStart w:id="1073" w:name="_Toc9659_WPSOffice_Level2"/>
      <w:bookmarkStart w:id="1074" w:name="_Toc434"/>
      <w:bookmarkStart w:id="1075" w:name="_Toc15461451"/>
      <w:bookmarkStart w:id="1076" w:name="_Toc5937"/>
      <w:bookmarkStart w:id="1077" w:name="_Toc23657"/>
      <w:bookmarkStart w:id="1078" w:name="_Toc8003"/>
      <w:bookmarkStart w:id="1079" w:name="_Toc25303"/>
      <w:bookmarkStart w:id="1080" w:name="_Toc28821"/>
      <w:bookmarkStart w:id="1081" w:name="_Toc1261"/>
      <w:bookmarkStart w:id="1082" w:name="_Toc8935"/>
      <w:bookmarkStart w:id="1083" w:name="_Toc15981"/>
      <w:r>
        <w:rPr>
          <w:rFonts w:hint="eastAsia" w:ascii="宋体" w:hAnsi="宋体" w:eastAsia="宋体" w:cs="宋体"/>
          <w:sz w:val="21"/>
          <w:szCs w:val="21"/>
        </w:rPr>
        <w:t>（</w:t>
      </w:r>
      <w:r>
        <w:rPr>
          <w:rFonts w:hint="eastAsia" w:ascii="宋体" w:hAnsi="宋体" w:cs="宋体"/>
          <w:sz w:val="21"/>
          <w:szCs w:val="21"/>
          <w:lang w:val="en-US" w:eastAsia="zh-CN"/>
        </w:rPr>
        <w:t>一</w:t>
      </w:r>
      <w:r>
        <w:rPr>
          <w:rFonts w:hint="eastAsia" w:ascii="宋体" w:hAnsi="宋体" w:eastAsia="宋体" w:cs="宋体"/>
          <w:sz w:val="21"/>
          <w:szCs w:val="21"/>
        </w:rPr>
        <w:t>）资格证明材料</w:t>
      </w:r>
      <w:bookmarkEnd w:id="1053"/>
      <w:bookmarkEnd w:id="1054"/>
      <w:bookmarkEnd w:id="1055"/>
    </w:p>
    <w:bookmarkEnd w:id="1056"/>
    <w:p w14:paraId="0BD6B490">
      <w:pPr>
        <w:spacing w:before="326" w:beforeLines="100" w:after="163" w:afterLines="50"/>
        <w:rPr>
          <w:rFonts w:hint="eastAsia" w:ascii="宋体" w:hAnsi="宋体" w:eastAsia="宋体" w:cs="宋体"/>
          <w:szCs w:val="21"/>
        </w:rPr>
      </w:pPr>
    </w:p>
    <w:p w14:paraId="46D9BC46">
      <w:pPr>
        <w:widowControl/>
        <w:jc w:val="left"/>
        <w:rPr>
          <w:rFonts w:hint="eastAsia" w:ascii="宋体" w:hAnsi="宋体" w:eastAsia="宋体" w:cs="宋体"/>
          <w:b/>
          <w:bCs/>
          <w:color w:val="000000" w:themeColor="text1"/>
          <w:szCs w:val="18"/>
          <w14:textFill>
            <w14:solidFill>
              <w14:schemeClr w14:val="tx1"/>
            </w14:solidFill>
          </w14:textFill>
        </w:rPr>
      </w:pPr>
      <w:r>
        <w:rPr>
          <w:rFonts w:ascii="宋体" w:hAnsi="宋体" w:eastAsia="宋体" w:cs="宋体"/>
          <w:b/>
          <w:bCs/>
          <w:color w:val="000000" w:themeColor="text1"/>
          <w:szCs w:val="18"/>
          <w14:textFill>
            <w14:solidFill>
              <w14:schemeClr w14:val="tx1"/>
            </w14:solidFill>
          </w14:textFill>
        </w:rPr>
        <w:br w:type="page"/>
      </w:r>
    </w:p>
    <w:p w14:paraId="2A18999B">
      <w:pPr>
        <w:spacing w:line="360" w:lineRule="auto"/>
        <w:ind w:firstLine="480" w:firstLineChars="200"/>
        <w:jc w:val="center"/>
        <w:outlineLvl w:val="2"/>
        <w:rPr>
          <w:rFonts w:hint="eastAsia" w:ascii="宋体" w:hAnsi="宋体" w:eastAsia="宋体" w:cs="宋体"/>
          <w:bCs/>
          <w:color w:val="000000" w:themeColor="text1"/>
          <w:szCs w:val="18"/>
          <w14:textFill>
            <w14:solidFill>
              <w14:schemeClr w14:val="tx1"/>
            </w14:solidFill>
          </w14:textFill>
        </w:rPr>
      </w:pPr>
      <w:bookmarkStart w:id="1084" w:name="_Toc6643"/>
      <w:bookmarkStart w:id="1085" w:name="_Toc14588"/>
      <w:r>
        <w:rPr>
          <w:rFonts w:hint="eastAsia" w:ascii="宋体" w:hAnsi="宋体" w:eastAsia="宋体" w:cs="宋体"/>
          <w:bCs/>
          <w:color w:val="000000" w:themeColor="text1"/>
          <w:szCs w:val="18"/>
          <w14:textFill>
            <w14:solidFill>
              <w14:schemeClr w14:val="tx1"/>
            </w14:solidFill>
          </w14:textFill>
        </w:rPr>
        <w:t>（</w:t>
      </w:r>
      <w:r>
        <w:rPr>
          <w:rFonts w:hint="eastAsia" w:ascii="宋体" w:hAnsi="宋体" w:cs="宋体"/>
          <w:bCs/>
          <w:color w:val="000000" w:themeColor="text1"/>
          <w:szCs w:val="18"/>
          <w:lang w:val="en-US" w:eastAsia="zh-CN"/>
          <w14:textFill>
            <w14:solidFill>
              <w14:schemeClr w14:val="tx1"/>
            </w14:solidFill>
          </w14:textFill>
        </w:rPr>
        <w:t>二</w:t>
      </w:r>
      <w:r>
        <w:rPr>
          <w:rFonts w:hint="eastAsia" w:ascii="宋体" w:hAnsi="宋体" w:eastAsia="宋体" w:cs="宋体"/>
          <w:bCs/>
          <w:color w:val="000000" w:themeColor="text1"/>
          <w:szCs w:val="18"/>
          <w14:textFill>
            <w14:solidFill>
              <w14:schemeClr w14:val="tx1"/>
            </w14:solidFill>
          </w14:textFill>
        </w:rPr>
        <w:t>）政府采购供应商信用承诺函</w:t>
      </w:r>
      <w:bookmarkEnd w:id="1084"/>
      <w:bookmarkEnd w:id="1085"/>
    </w:p>
    <w:p w14:paraId="0CC9906D">
      <w:pPr>
        <w:spacing w:line="360" w:lineRule="auto"/>
        <w:ind w:firstLine="482" w:firstLineChars="200"/>
        <w:jc w:val="center"/>
        <w:rPr>
          <w:rFonts w:hint="eastAsia" w:ascii="宋体" w:hAnsi="宋体" w:eastAsia="宋体" w:cs="宋体"/>
          <w:b/>
          <w:bCs/>
          <w:color w:val="000000" w:themeColor="text1"/>
          <w:szCs w:val="18"/>
          <w14:textFill>
            <w14:solidFill>
              <w14:schemeClr w14:val="tx1"/>
            </w14:solidFill>
          </w14:textFill>
        </w:rPr>
      </w:pPr>
    </w:p>
    <w:p w14:paraId="2BB65328">
      <w:pPr>
        <w:spacing w:line="360" w:lineRule="auto"/>
        <w:ind w:firstLine="420" w:firstLineChars="200"/>
        <w:rPr>
          <w:rFonts w:hint="eastAsia" w:ascii="宋体" w:hAnsi="宋体" w:eastAsia="宋体" w:cs="宋体"/>
          <w:color w:val="000000" w:themeColor="text1"/>
          <w:sz w:val="21"/>
          <w:szCs w:val="15"/>
          <w14:textFill>
            <w14:solidFill>
              <w14:schemeClr w14:val="tx1"/>
            </w14:solidFill>
          </w14:textFill>
        </w:rPr>
      </w:pPr>
      <w:r>
        <w:rPr>
          <w:rFonts w:hint="eastAsia" w:ascii="宋体" w:hAnsi="宋体" w:eastAsia="宋体" w:cs="宋体"/>
          <w:color w:val="000000" w:themeColor="text1"/>
          <w:sz w:val="21"/>
          <w:szCs w:val="15"/>
          <w14:textFill>
            <w14:solidFill>
              <w14:schemeClr w14:val="tx1"/>
            </w14:solidFill>
          </w14:textFill>
        </w:rPr>
        <w:t>致  （采购人或采购代理机构）  ：</w:t>
      </w:r>
    </w:p>
    <w:p w14:paraId="0CA0E9CB">
      <w:pPr>
        <w:spacing w:line="360" w:lineRule="auto"/>
        <w:ind w:firstLine="420" w:firstLineChars="200"/>
        <w:rPr>
          <w:rFonts w:hint="eastAsia" w:ascii="宋体" w:hAnsi="宋体" w:eastAsia="宋体" w:cs="宋体"/>
          <w:color w:val="000000" w:themeColor="text1"/>
          <w:sz w:val="21"/>
          <w:szCs w:val="15"/>
          <w14:textFill>
            <w14:solidFill>
              <w14:schemeClr w14:val="tx1"/>
            </w14:solidFill>
          </w14:textFill>
        </w:rPr>
      </w:pPr>
      <w:r>
        <w:rPr>
          <w:rFonts w:hint="eastAsia" w:ascii="宋体" w:hAnsi="宋体" w:eastAsia="宋体" w:cs="宋体"/>
          <w:color w:val="000000" w:themeColor="text1"/>
          <w:sz w:val="21"/>
          <w:szCs w:val="15"/>
          <w14:textFill>
            <w14:solidFill>
              <w14:schemeClr w14:val="tx1"/>
            </w14:solidFill>
          </w14:textFill>
        </w:rPr>
        <w:t xml:space="preserve">单位名称：                                  </w:t>
      </w:r>
    </w:p>
    <w:p w14:paraId="1435D66F">
      <w:pPr>
        <w:spacing w:line="360" w:lineRule="auto"/>
        <w:ind w:firstLine="420" w:firstLineChars="200"/>
        <w:rPr>
          <w:rFonts w:hint="eastAsia" w:ascii="宋体" w:hAnsi="宋体" w:eastAsia="宋体" w:cs="宋体"/>
          <w:color w:val="000000" w:themeColor="text1"/>
          <w:sz w:val="21"/>
          <w:szCs w:val="15"/>
          <w14:textFill>
            <w14:solidFill>
              <w14:schemeClr w14:val="tx1"/>
            </w14:solidFill>
          </w14:textFill>
        </w:rPr>
      </w:pPr>
      <w:r>
        <w:rPr>
          <w:rFonts w:hint="eastAsia" w:ascii="宋体" w:hAnsi="宋体" w:eastAsia="宋体" w:cs="宋体"/>
          <w:color w:val="000000" w:themeColor="text1"/>
          <w:sz w:val="21"/>
          <w:szCs w:val="15"/>
          <w14:textFill>
            <w14:solidFill>
              <w14:schemeClr w14:val="tx1"/>
            </w14:solidFill>
          </w14:textFill>
        </w:rPr>
        <w:t xml:space="preserve">统一社会信用代码：                          </w:t>
      </w:r>
    </w:p>
    <w:p w14:paraId="707010F3">
      <w:pPr>
        <w:spacing w:line="360" w:lineRule="auto"/>
        <w:ind w:firstLine="420" w:firstLineChars="200"/>
        <w:rPr>
          <w:rFonts w:hint="eastAsia" w:ascii="宋体" w:hAnsi="宋体" w:eastAsia="宋体" w:cs="宋体"/>
          <w:color w:val="000000" w:themeColor="text1"/>
          <w:sz w:val="21"/>
          <w:szCs w:val="15"/>
          <w14:textFill>
            <w14:solidFill>
              <w14:schemeClr w14:val="tx1"/>
            </w14:solidFill>
          </w14:textFill>
        </w:rPr>
      </w:pPr>
      <w:r>
        <w:rPr>
          <w:rFonts w:hint="eastAsia" w:ascii="宋体" w:hAnsi="宋体" w:eastAsia="宋体" w:cs="宋体"/>
          <w:color w:val="000000" w:themeColor="text1"/>
          <w:sz w:val="21"/>
          <w:szCs w:val="15"/>
          <w14:textFill>
            <w14:solidFill>
              <w14:schemeClr w14:val="tx1"/>
            </w14:solidFill>
          </w14:textFill>
        </w:rPr>
        <w:t xml:space="preserve">法定代表人：                                </w:t>
      </w:r>
    </w:p>
    <w:p w14:paraId="16473610">
      <w:pPr>
        <w:spacing w:line="360" w:lineRule="auto"/>
        <w:ind w:firstLine="420" w:firstLineChars="200"/>
        <w:rPr>
          <w:rFonts w:hint="eastAsia" w:ascii="宋体" w:hAnsi="宋体" w:eastAsia="宋体" w:cs="宋体"/>
          <w:color w:val="000000" w:themeColor="text1"/>
          <w:sz w:val="21"/>
          <w:szCs w:val="15"/>
          <w14:textFill>
            <w14:solidFill>
              <w14:schemeClr w14:val="tx1"/>
            </w14:solidFill>
          </w14:textFill>
        </w:rPr>
      </w:pPr>
      <w:r>
        <w:rPr>
          <w:rFonts w:hint="eastAsia" w:ascii="宋体" w:hAnsi="宋体" w:eastAsia="宋体" w:cs="宋体"/>
          <w:color w:val="000000" w:themeColor="text1"/>
          <w:sz w:val="21"/>
          <w:szCs w:val="15"/>
          <w14:textFill>
            <w14:solidFill>
              <w14:schemeClr w14:val="tx1"/>
            </w14:solidFill>
          </w14:textFill>
        </w:rPr>
        <w:t xml:space="preserve">联系地址和电话：                            </w:t>
      </w:r>
    </w:p>
    <w:p w14:paraId="44F1B9FC">
      <w:pPr>
        <w:spacing w:line="360" w:lineRule="auto"/>
        <w:ind w:firstLine="420" w:firstLineChars="200"/>
        <w:rPr>
          <w:rFonts w:hint="eastAsia" w:ascii="宋体" w:hAnsi="宋体" w:eastAsia="宋体" w:cs="宋体"/>
          <w:color w:val="000000" w:themeColor="text1"/>
          <w:sz w:val="21"/>
          <w:szCs w:val="15"/>
          <w14:textFill>
            <w14:solidFill>
              <w14:schemeClr w14:val="tx1"/>
            </w14:solidFill>
          </w14:textFill>
        </w:rPr>
      </w:pPr>
      <w:r>
        <w:rPr>
          <w:rFonts w:hint="eastAsia" w:ascii="宋体" w:hAnsi="宋体" w:eastAsia="宋体" w:cs="宋体"/>
          <w:color w:val="000000" w:themeColor="text1"/>
          <w:sz w:val="21"/>
          <w:szCs w:val="15"/>
          <w14:textFill>
            <w14:solidFill>
              <w14:schemeClr w14:val="tx1"/>
            </w14:solidFill>
          </w14:textFill>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0878DEE7">
      <w:pPr>
        <w:spacing w:line="360" w:lineRule="auto"/>
        <w:ind w:firstLine="420" w:firstLineChars="200"/>
        <w:rPr>
          <w:rFonts w:hint="eastAsia" w:ascii="宋体" w:hAnsi="宋体" w:eastAsia="宋体" w:cs="宋体"/>
          <w:color w:val="000000" w:themeColor="text1"/>
          <w:sz w:val="21"/>
          <w:szCs w:val="15"/>
          <w14:textFill>
            <w14:solidFill>
              <w14:schemeClr w14:val="tx1"/>
            </w14:solidFill>
          </w14:textFill>
        </w:rPr>
      </w:pPr>
      <w:r>
        <w:rPr>
          <w:rFonts w:hint="eastAsia" w:ascii="宋体" w:hAnsi="宋体" w:eastAsia="宋体" w:cs="宋体"/>
          <w:color w:val="000000" w:themeColor="text1"/>
          <w:sz w:val="21"/>
          <w:szCs w:val="15"/>
          <w:lang w:eastAsia="zh-CN"/>
          <w14:textFill>
            <w14:solidFill>
              <w14:schemeClr w14:val="tx1"/>
            </w14:solidFill>
          </w14:textFill>
        </w:rPr>
        <w:t>（一）</w:t>
      </w:r>
      <w:r>
        <w:rPr>
          <w:rFonts w:hint="eastAsia" w:ascii="宋体" w:hAnsi="宋体" w:eastAsia="宋体" w:cs="宋体"/>
          <w:color w:val="000000" w:themeColor="text1"/>
          <w:sz w:val="21"/>
          <w:szCs w:val="15"/>
          <w14:textFill>
            <w14:solidFill>
              <w14:schemeClr w14:val="tx1"/>
            </w14:solidFill>
          </w14:textFill>
        </w:rPr>
        <w:t>具有独立承担民事责任的能力；</w:t>
      </w:r>
    </w:p>
    <w:p w14:paraId="200BFC0B">
      <w:pPr>
        <w:spacing w:line="360" w:lineRule="auto"/>
        <w:ind w:firstLine="420" w:firstLineChars="200"/>
        <w:rPr>
          <w:rFonts w:hint="eastAsia" w:ascii="宋体" w:hAnsi="宋体" w:eastAsia="宋体" w:cs="宋体"/>
          <w:color w:val="000000" w:themeColor="text1"/>
          <w:sz w:val="21"/>
          <w:szCs w:val="15"/>
          <w14:textFill>
            <w14:solidFill>
              <w14:schemeClr w14:val="tx1"/>
            </w14:solidFill>
          </w14:textFill>
        </w:rPr>
      </w:pPr>
      <w:r>
        <w:rPr>
          <w:rFonts w:hint="eastAsia" w:ascii="宋体" w:hAnsi="宋体" w:eastAsia="宋体" w:cs="宋体"/>
          <w:color w:val="000000" w:themeColor="text1"/>
          <w:sz w:val="21"/>
          <w:szCs w:val="15"/>
          <w:lang w:eastAsia="zh-CN"/>
          <w14:textFill>
            <w14:solidFill>
              <w14:schemeClr w14:val="tx1"/>
            </w14:solidFill>
          </w14:textFill>
        </w:rPr>
        <w:t>（二）</w:t>
      </w:r>
      <w:r>
        <w:rPr>
          <w:rFonts w:hint="eastAsia" w:ascii="宋体" w:hAnsi="宋体" w:eastAsia="宋体" w:cs="宋体"/>
          <w:color w:val="000000" w:themeColor="text1"/>
          <w:sz w:val="21"/>
          <w:szCs w:val="15"/>
          <w14:textFill>
            <w14:solidFill>
              <w14:schemeClr w14:val="tx1"/>
            </w14:solidFill>
          </w14:textFill>
        </w:rPr>
        <w:t>具有良好的商业信誉和健全的财务会计制度；</w:t>
      </w:r>
    </w:p>
    <w:p w14:paraId="06D0E759">
      <w:pPr>
        <w:spacing w:line="360" w:lineRule="auto"/>
        <w:ind w:firstLine="420" w:firstLineChars="200"/>
        <w:rPr>
          <w:rFonts w:hint="eastAsia" w:ascii="宋体" w:hAnsi="宋体" w:eastAsia="宋体" w:cs="宋体"/>
          <w:color w:val="000000" w:themeColor="text1"/>
          <w:sz w:val="21"/>
          <w:szCs w:val="15"/>
          <w14:textFill>
            <w14:solidFill>
              <w14:schemeClr w14:val="tx1"/>
            </w14:solidFill>
          </w14:textFill>
        </w:rPr>
      </w:pPr>
      <w:r>
        <w:rPr>
          <w:rFonts w:hint="eastAsia" w:ascii="宋体" w:hAnsi="宋体" w:eastAsia="宋体" w:cs="宋体"/>
          <w:color w:val="000000" w:themeColor="text1"/>
          <w:sz w:val="21"/>
          <w:szCs w:val="15"/>
          <w:lang w:eastAsia="zh-CN"/>
          <w14:textFill>
            <w14:solidFill>
              <w14:schemeClr w14:val="tx1"/>
            </w14:solidFill>
          </w14:textFill>
        </w:rPr>
        <w:t>（三）</w:t>
      </w:r>
      <w:r>
        <w:rPr>
          <w:rFonts w:hint="eastAsia" w:ascii="宋体" w:hAnsi="宋体" w:eastAsia="宋体" w:cs="宋体"/>
          <w:color w:val="000000" w:themeColor="text1"/>
          <w:sz w:val="21"/>
          <w:szCs w:val="15"/>
          <w14:textFill>
            <w14:solidFill>
              <w14:schemeClr w14:val="tx1"/>
            </w14:solidFill>
          </w14:textFill>
        </w:rPr>
        <w:t>具有履行合同所必需的设备和专业技术能力；</w:t>
      </w:r>
    </w:p>
    <w:p w14:paraId="17480166">
      <w:pPr>
        <w:spacing w:line="360" w:lineRule="auto"/>
        <w:ind w:firstLine="420" w:firstLineChars="200"/>
        <w:rPr>
          <w:rFonts w:hint="eastAsia" w:ascii="宋体" w:hAnsi="宋体" w:eastAsia="宋体" w:cs="宋体"/>
          <w:color w:val="000000" w:themeColor="text1"/>
          <w:sz w:val="21"/>
          <w:szCs w:val="15"/>
          <w14:textFill>
            <w14:solidFill>
              <w14:schemeClr w14:val="tx1"/>
            </w14:solidFill>
          </w14:textFill>
        </w:rPr>
      </w:pPr>
      <w:r>
        <w:rPr>
          <w:rFonts w:hint="eastAsia" w:ascii="宋体" w:hAnsi="宋体" w:eastAsia="宋体" w:cs="宋体"/>
          <w:color w:val="000000" w:themeColor="text1"/>
          <w:sz w:val="21"/>
          <w:szCs w:val="15"/>
          <w:lang w:eastAsia="zh-CN"/>
          <w14:textFill>
            <w14:solidFill>
              <w14:schemeClr w14:val="tx1"/>
            </w14:solidFill>
          </w14:textFill>
        </w:rPr>
        <w:t>（四）</w:t>
      </w:r>
      <w:r>
        <w:rPr>
          <w:rFonts w:hint="eastAsia" w:ascii="宋体" w:hAnsi="宋体" w:eastAsia="宋体" w:cs="宋体"/>
          <w:color w:val="000000" w:themeColor="text1"/>
          <w:sz w:val="21"/>
          <w:szCs w:val="15"/>
          <w14:textFill>
            <w14:solidFill>
              <w14:schemeClr w14:val="tx1"/>
            </w14:solidFill>
          </w14:textFill>
        </w:rPr>
        <w:t>有依法缴纳税收和社会保障资金的良好记录；</w:t>
      </w:r>
    </w:p>
    <w:p w14:paraId="16DB9AD7">
      <w:pPr>
        <w:spacing w:line="360" w:lineRule="auto"/>
        <w:ind w:firstLine="420" w:firstLineChars="200"/>
        <w:rPr>
          <w:rFonts w:hint="eastAsia" w:ascii="宋体" w:hAnsi="宋体" w:eastAsia="宋体" w:cs="宋体"/>
          <w:color w:val="000000" w:themeColor="text1"/>
          <w:sz w:val="21"/>
          <w:szCs w:val="15"/>
          <w14:textFill>
            <w14:solidFill>
              <w14:schemeClr w14:val="tx1"/>
            </w14:solidFill>
          </w14:textFill>
        </w:rPr>
      </w:pPr>
      <w:r>
        <w:rPr>
          <w:rFonts w:hint="eastAsia" w:ascii="宋体" w:hAnsi="宋体" w:eastAsia="宋体" w:cs="宋体"/>
          <w:color w:val="000000" w:themeColor="text1"/>
          <w:sz w:val="21"/>
          <w:szCs w:val="15"/>
          <w:lang w:eastAsia="zh-CN"/>
          <w14:textFill>
            <w14:solidFill>
              <w14:schemeClr w14:val="tx1"/>
            </w14:solidFill>
          </w14:textFill>
        </w:rPr>
        <w:t>（五）</w:t>
      </w:r>
      <w:r>
        <w:rPr>
          <w:rFonts w:hint="eastAsia" w:ascii="宋体" w:hAnsi="宋体" w:eastAsia="宋体" w:cs="宋体"/>
          <w:color w:val="000000" w:themeColor="text1"/>
          <w:sz w:val="21"/>
          <w:szCs w:val="15"/>
          <w14:textFill>
            <w14:solidFill>
              <w14:schemeClr w14:val="tx1"/>
            </w14:solidFill>
          </w14:textFill>
        </w:rPr>
        <w:t>参加政府采购活动前三年内，在经营活动中没有重大违法记录；</w:t>
      </w:r>
    </w:p>
    <w:p w14:paraId="4CB71408">
      <w:pPr>
        <w:spacing w:line="360" w:lineRule="auto"/>
        <w:ind w:firstLine="420" w:firstLineChars="200"/>
        <w:rPr>
          <w:rFonts w:hint="eastAsia" w:ascii="宋体" w:hAnsi="宋体" w:eastAsia="宋体" w:cs="宋体"/>
          <w:color w:val="000000" w:themeColor="text1"/>
          <w:sz w:val="21"/>
          <w:szCs w:val="15"/>
          <w14:textFill>
            <w14:solidFill>
              <w14:schemeClr w14:val="tx1"/>
            </w14:solidFill>
          </w14:textFill>
        </w:rPr>
      </w:pPr>
      <w:r>
        <w:rPr>
          <w:rFonts w:hint="eastAsia" w:ascii="宋体" w:hAnsi="宋体" w:eastAsia="宋体" w:cs="宋体"/>
          <w:color w:val="000000" w:themeColor="text1"/>
          <w:sz w:val="21"/>
          <w:szCs w:val="15"/>
          <w14:textFill>
            <w14:solidFill>
              <w14:schemeClr w14:val="tx1"/>
            </w14:solidFill>
          </w14:textFill>
        </w:rPr>
        <w:t>（六）法律、行政法规规定的其他条件。</w:t>
      </w:r>
    </w:p>
    <w:p w14:paraId="26885DB6">
      <w:pPr>
        <w:spacing w:line="360" w:lineRule="auto"/>
        <w:ind w:firstLine="420" w:firstLineChars="200"/>
        <w:rPr>
          <w:rFonts w:hint="eastAsia" w:ascii="宋体" w:hAnsi="宋体" w:eastAsia="宋体" w:cs="宋体"/>
          <w:color w:val="000000" w:themeColor="text1"/>
          <w:sz w:val="21"/>
          <w:szCs w:val="15"/>
          <w14:textFill>
            <w14:solidFill>
              <w14:schemeClr w14:val="tx1"/>
            </w14:solidFill>
          </w14:textFill>
        </w:rPr>
      </w:pPr>
      <w:r>
        <w:rPr>
          <w:rFonts w:hint="eastAsia" w:ascii="宋体" w:hAnsi="宋体" w:eastAsia="宋体" w:cs="宋体"/>
          <w:color w:val="000000" w:themeColor="text1"/>
          <w:sz w:val="21"/>
          <w:szCs w:val="15"/>
          <w14:textFill>
            <w14:solidFill>
              <w14:schemeClr w14:val="tx1"/>
            </w14:solidFill>
          </w14:textFill>
        </w:rPr>
        <w:t>我单位保证上述承诺事项的真实性，如有弄虚作假或其他违法违规行为，愿意承担一切法律责任，并承担因此所造成的一切损失。</w:t>
      </w:r>
    </w:p>
    <w:p w14:paraId="587FCAAF">
      <w:pPr>
        <w:spacing w:before="326" w:beforeLines="100" w:after="163" w:afterLines="50"/>
        <w:rPr>
          <w:rFonts w:hint="eastAsia" w:ascii="宋体" w:hAnsi="宋体" w:eastAsia="宋体" w:cs="宋体"/>
          <w:color w:val="000000" w:themeColor="text1"/>
          <w:sz w:val="21"/>
          <w:szCs w:val="15"/>
          <w14:textFill>
            <w14:solidFill>
              <w14:schemeClr w14:val="tx1"/>
            </w14:solidFill>
          </w14:textFill>
        </w:rPr>
      </w:pPr>
    </w:p>
    <w:p w14:paraId="398F84ED">
      <w:pPr>
        <w:pStyle w:val="28"/>
        <w:ind w:left="0" w:leftChars="0" w:firstLine="0" w:firstLineChars="0"/>
      </w:pPr>
    </w:p>
    <w:p w14:paraId="51EB3A69">
      <w:pPr>
        <w:spacing w:line="360" w:lineRule="auto"/>
        <w:ind w:right="420"/>
        <w:rPr>
          <w:rFonts w:hint="eastAsia" w:ascii="宋体" w:hAnsi="宋体" w:eastAsia="宋体" w:cs="宋体"/>
          <w:sz w:val="21"/>
          <w:szCs w:val="21"/>
        </w:rPr>
      </w:pPr>
      <w:r>
        <w:rPr>
          <w:rFonts w:hint="eastAsia" w:ascii="宋体" w:hAnsi="宋体" w:eastAsia="宋体" w:cs="宋体"/>
          <w:sz w:val="21"/>
          <w:szCs w:val="21"/>
        </w:rPr>
        <w:t>供应商：</w:t>
      </w:r>
      <w:r>
        <w:rPr>
          <w:rFonts w:hint="eastAsia" w:ascii="宋体" w:hAnsi="宋体" w:eastAsia="宋体" w:cs="宋体"/>
          <w:sz w:val="21"/>
          <w:szCs w:val="21"/>
          <w:u w:val="single"/>
        </w:rPr>
        <w:t xml:space="preserve">                             </w:t>
      </w:r>
      <w:r>
        <w:rPr>
          <w:rFonts w:hint="eastAsia" w:ascii="宋体" w:hAnsi="宋体" w:eastAsia="宋体" w:cs="宋体"/>
          <w:sz w:val="21"/>
          <w:szCs w:val="21"/>
        </w:rPr>
        <w:t>（电子签章）</w:t>
      </w:r>
    </w:p>
    <w:p w14:paraId="482C9E78">
      <w:pPr>
        <w:spacing w:line="360" w:lineRule="auto"/>
        <w:ind w:right="420"/>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 </w:t>
      </w:r>
      <w:r>
        <w:rPr>
          <w:rFonts w:hint="eastAsia" w:ascii="宋体" w:hAnsi="宋体" w:eastAsia="宋体" w:cs="宋体"/>
          <w:sz w:val="21"/>
          <w:szCs w:val="21"/>
          <w:u w:val="single"/>
        </w:rPr>
        <w:t xml:space="preserve">          </w:t>
      </w:r>
      <w:r>
        <w:rPr>
          <w:rFonts w:hint="eastAsia" w:ascii="宋体" w:hAnsi="宋体" w:eastAsia="宋体" w:cs="宋体"/>
          <w:sz w:val="21"/>
          <w:szCs w:val="21"/>
        </w:rPr>
        <w:t>（签字或盖章）</w:t>
      </w:r>
    </w:p>
    <w:p w14:paraId="72C830A4">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p>
    <w:p w14:paraId="04FEF59F">
      <w:pPr>
        <w:spacing w:line="360" w:lineRule="auto"/>
        <w:ind w:right="48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w:t>
      </w:r>
    </w:p>
    <w:p w14:paraId="07F9C35C">
      <w:pPr>
        <w:widowControl/>
        <w:jc w:val="left"/>
        <w:rPr>
          <w:rFonts w:ascii="宋体" w:hAnsi="宋体" w:cs="宋体"/>
          <w:b/>
          <w:sz w:val="28"/>
          <w:szCs w:val="28"/>
        </w:rPr>
      </w:pPr>
    </w:p>
    <w:p w14:paraId="2E406334">
      <w:pPr>
        <w:rPr>
          <w:rFonts w:hint="eastAsia" w:ascii="宋体" w:hAnsi="宋体" w:cs="宋体"/>
          <w:szCs w:val="28"/>
        </w:rPr>
      </w:pPr>
      <w:r>
        <w:rPr>
          <w:rFonts w:hint="eastAsia" w:ascii="宋体" w:hAnsi="宋体" w:cs="宋体"/>
          <w:szCs w:val="28"/>
        </w:rPr>
        <w:br w:type="page"/>
      </w:r>
    </w:p>
    <w:p w14:paraId="03138E74">
      <w:pPr>
        <w:pStyle w:val="5"/>
        <w:spacing w:line="400" w:lineRule="exact"/>
        <w:ind w:firstLine="562"/>
        <w:jc w:val="center"/>
        <w:rPr>
          <w:rFonts w:ascii="宋体" w:hAnsi="宋体" w:cs="宋体"/>
          <w:szCs w:val="28"/>
        </w:rPr>
      </w:pPr>
      <w:bookmarkStart w:id="1086" w:name="_Toc25033"/>
      <w:r>
        <w:rPr>
          <w:rFonts w:hint="eastAsia" w:ascii="宋体" w:hAnsi="宋体" w:cs="宋体"/>
          <w:szCs w:val="28"/>
          <w:lang w:val="en-US" w:eastAsia="zh-CN"/>
        </w:rPr>
        <w:t>八</w:t>
      </w:r>
      <w:r>
        <w:rPr>
          <w:rFonts w:hint="eastAsia" w:ascii="宋体" w:hAnsi="宋体" w:cs="宋体"/>
          <w:szCs w:val="28"/>
        </w:rPr>
        <w:t>、</w:t>
      </w:r>
      <w:bookmarkStart w:id="1087" w:name="_Toc18024_WPSOffice_Level3"/>
      <w:bookmarkStart w:id="1088" w:name="_Toc9728"/>
      <w:bookmarkStart w:id="1089" w:name="_Toc5030"/>
      <w:r>
        <w:rPr>
          <w:rFonts w:hint="eastAsia" w:ascii="宋体" w:hAnsi="宋体" w:cs="宋体"/>
          <w:szCs w:val="28"/>
        </w:rPr>
        <w:t>招标代理费支付承诺</w:t>
      </w:r>
      <w:bookmarkEnd w:id="1057"/>
      <w:bookmarkEnd w:id="1058"/>
      <w:bookmarkEnd w:id="1059"/>
      <w:bookmarkEnd w:id="1086"/>
      <w:bookmarkEnd w:id="1087"/>
      <w:bookmarkEnd w:id="1088"/>
      <w:bookmarkEnd w:id="1089"/>
    </w:p>
    <w:p w14:paraId="4841D41E">
      <w:pPr>
        <w:rPr>
          <w:rFonts w:ascii="宋体" w:hAnsi="宋体" w:cs="宋体"/>
          <w:sz w:val="21"/>
          <w:szCs w:val="21"/>
          <w:u w:val="single"/>
        </w:rPr>
      </w:pPr>
    </w:p>
    <w:p w14:paraId="63AA4F4D">
      <w:pPr>
        <w:rPr>
          <w:rFonts w:ascii="宋体" w:hAnsi="宋体" w:cs="宋体"/>
          <w:sz w:val="21"/>
          <w:szCs w:val="21"/>
        </w:rPr>
      </w:pPr>
      <w:r>
        <w:rPr>
          <w:rFonts w:hint="eastAsia" w:ascii="宋体" w:hAnsi="宋体" w:cs="宋体"/>
          <w:sz w:val="21"/>
          <w:szCs w:val="21"/>
          <w:u w:val="single"/>
        </w:rPr>
        <w:t>采购代理机构</w:t>
      </w:r>
      <w:r>
        <w:rPr>
          <w:rFonts w:hint="eastAsia" w:ascii="宋体" w:hAnsi="宋体" w:cs="宋体"/>
          <w:sz w:val="21"/>
          <w:szCs w:val="21"/>
        </w:rPr>
        <w:t>：</w:t>
      </w:r>
    </w:p>
    <w:p w14:paraId="5D4AC207">
      <w:pPr>
        <w:rPr>
          <w:rFonts w:ascii="宋体" w:hAnsi="宋体" w:cs="宋体"/>
          <w:sz w:val="21"/>
          <w:szCs w:val="21"/>
        </w:rPr>
      </w:pPr>
    </w:p>
    <w:p w14:paraId="58AB1A8E">
      <w:pPr>
        <w:spacing w:line="360" w:lineRule="auto"/>
        <w:ind w:firstLine="420" w:firstLineChars="200"/>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）郑重承诺，我方参加</w:t>
      </w:r>
      <w:r>
        <w:rPr>
          <w:rFonts w:hint="eastAsia" w:ascii="宋体" w:hAnsi="宋体" w:cs="宋体"/>
          <w:sz w:val="21"/>
          <w:szCs w:val="21"/>
          <w:u w:val="single"/>
        </w:rPr>
        <w:t xml:space="preserve">           </w:t>
      </w:r>
      <w:r>
        <w:rPr>
          <w:rFonts w:hint="eastAsia" w:ascii="宋体" w:hAnsi="宋体" w:cs="宋体"/>
          <w:sz w:val="21"/>
          <w:szCs w:val="21"/>
        </w:rPr>
        <w:t>（项目名称）的采购活动如有幸成为中标人，我公司将严格按照该项目约定的招标代理费金额在中标结果公示后以现金或转账方式足额、及时支付。如未按要求支付费用所产生的一切后果，均由我公司自行负责。</w:t>
      </w:r>
    </w:p>
    <w:p w14:paraId="700AD84C">
      <w:pPr>
        <w:spacing w:line="360" w:lineRule="auto"/>
        <w:ind w:firstLine="420" w:firstLineChars="200"/>
        <w:rPr>
          <w:rFonts w:ascii="宋体" w:hAnsi="宋体" w:cs="宋体"/>
          <w:sz w:val="21"/>
          <w:szCs w:val="21"/>
        </w:rPr>
      </w:pPr>
      <w:r>
        <w:rPr>
          <w:rFonts w:hint="eastAsia" w:ascii="宋体" w:hAnsi="宋体" w:cs="宋体"/>
          <w:sz w:val="21"/>
          <w:szCs w:val="21"/>
        </w:rPr>
        <w:t>特此承诺。</w:t>
      </w:r>
    </w:p>
    <w:p w14:paraId="46311316">
      <w:pPr>
        <w:rPr>
          <w:rFonts w:ascii="宋体" w:hAnsi="宋体" w:cs="宋体"/>
          <w:sz w:val="21"/>
          <w:szCs w:val="21"/>
        </w:rPr>
      </w:pPr>
    </w:p>
    <w:p w14:paraId="3EEB1FA9">
      <w:pPr>
        <w:rPr>
          <w:rFonts w:ascii="宋体" w:hAnsi="宋体" w:cs="宋体"/>
          <w:sz w:val="21"/>
          <w:szCs w:val="21"/>
        </w:rPr>
      </w:pPr>
    </w:p>
    <w:p w14:paraId="6759B6EF">
      <w:pPr>
        <w:rPr>
          <w:rFonts w:ascii="宋体" w:hAnsi="宋体" w:cs="宋体"/>
          <w:sz w:val="21"/>
          <w:szCs w:val="21"/>
        </w:rPr>
      </w:pPr>
    </w:p>
    <w:p w14:paraId="57A651FB">
      <w:pPr>
        <w:rPr>
          <w:rFonts w:ascii="宋体" w:hAnsi="宋体" w:cs="宋体"/>
          <w:sz w:val="21"/>
          <w:szCs w:val="21"/>
        </w:rPr>
      </w:pPr>
    </w:p>
    <w:p w14:paraId="664EB944">
      <w:pPr>
        <w:rPr>
          <w:rFonts w:ascii="宋体" w:hAnsi="宋体" w:cs="宋体"/>
          <w:sz w:val="21"/>
          <w:szCs w:val="21"/>
        </w:rPr>
      </w:pPr>
    </w:p>
    <w:p w14:paraId="50AB7C8E">
      <w:pPr>
        <w:rPr>
          <w:rFonts w:ascii="宋体" w:hAnsi="宋体" w:cs="宋体"/>
          <w:sz w:val="21"/>
          <w:szCs w:val="21"/>
        </w:rPr>
      </w:pPr>
    </w:p>
    <w:p w14:paraId="07428E98">
      <w:pPr>
        <w:spacing w:line="360" w:lineRule="auto"/>
        <w:ind w:firstLine="420" w:firstLineChars="200"/>
        <w:rPr>
          <w:rFonts w:ascii="宋体" w:hAnsi="宋体" w:cs="宋体"/>
          <w:sz w:val="21"/>
          <w:szCs w:val="21"/>
        </w:rPr>
      </w:pPr>
      <w:r>
        <w:rPr>
          <w:rFonts w:hint="eastAsia" w:ascii="宋体" w:hAnsi="宋体" w:cs="宋体"/>
          <w:sz w:val="21"/>
          <w:szCs w:val="21"/>
          <w:lang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6AD21F24">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32BB1112">
      <w:pPr>
        <w:spacing w:line="360" w:lineRule="auto"/>
        <w:ind w:right="1260" w:firstLine="420" w:firstLineChars="200"/>
        <w:jc w:val="right"/>
        <w:rPr>
          <w:rFonts w:ascii="宋体" w:hAnsi="宋体" w:cs="宋体"/>
          <w:sz w:val="21"/>
          <w:szCs w:val="21"/>
          <w:u w:val="single"/>
        </w:rPr>
      </w:pPr>
    </w:p>
    <w:p w14:paraId="16D969B1">
      <w:pPr>
        <w:spacing w:line="360" w:lineRule="auto"/>
        <w:ind w:right="1260" w:firstLine="420" w:firstLineChars="200"/>
        <w:jc w:val="right"/>
        <w:rPr>
          <w:rFonts w:ascii="宋体" w:hAnsi="宋体" w:cs="宋体"/>
          <w:sz w:val="21"/>
          <w:szCs w:val="21"/>
          <w:u w:val="single"/>
        </w:rPr>
      </w:pPr>
    </w:p>
    <w:p w14:paraId="08389F14">
      <w:pPr>
        <w:spacing w:line="360" w:lineRule="auto"/>
        <w:ind w:right="1260" w:firstLine="420" w:firstLineChars="200"/>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377F4C3C">
      <w:pPr>
        <w:pStyle w:val="5"/>
        <w:spacing w:line="400" w:lineRule="exact"/>
        <w:ind w:firstLine="562"/>
        <w:jc w:val="center"/>
        <w:rPr>
          <w:rFonts w:ascii="宋体" w:hAnsi="宋体" w:cs="宋体"/>
          <w:szCs w:val="28"/>
        </w:rPr>
      </w:pPr>
      <w:r>
        <w:rPr>
          <w:rFonts w:ascii="宋体" w:hAnsi="宋体" w:cs="宋体"/>
          <w:szCs w:val="28"/>
        </w:rPr>
        <w:br w:type="page"/>
      </w:r>
      <w:bookmarkStart w:id="1090" w:name="_Toc1434"/>
      <w:bookmarkStart w:id="1091" w:name="_Toc8515"/>
      <w:bookmarkStart w:id="1092" w:name="_Toc30116"/>
      <w:r>
        <w:rPr>
          <w:rFonts w:hint="eastAsia" w:ascii="宋体" w:hAnsi="宋体" w:cs="宋体"/>
          <w:szCs w:val="28"/>
          <w:lang w:val="en-US" w:eastAsia="zh-CN"/>
        </w:rPr>
        <w:t>九</w:t>
      </w:r>
      <w:r>
        <w:rPr>
          <w:rFonts w:hint="eastAsia" w:ascii="宋体" w:hAnsi="宋体" w:cs="宋体"/>
          <w:szCs w:val="28"/>
        </w:rPr>
        <w:t>、投标承诺函</w:t>
      </w:r>
      <w:bookmarkEnd w:id="1090"/>
      <w:bookmarkEnd w:id="1091"/>
    </w:p>
    <w:bookmarkEnd w:id="1092"/>
    <w:p w14:paraId="5CF5B38D">
      <w:pPr>
        <w:spacing w:line="360" w:lineRule="auto"/>
        <w:rPr>
          <w:rFonts w:ascii="宋体" w:hAnsi="宋体"/>
          <w:sz w:val="21"/>
        </w:rPr>
      </w:pPr>
      <w:r>
        <w:rPr>
          <w:rFonts w:hint="eastAsia" w:ascii="宋体" w:hAnsi="宋体"/>
          <w:sz w:val="21"/>
        </w:rPr>
        <w:t>致（采购人及采购代理机构）：</w:t>
      </w:r>
    </w:p>
    <w:p w14:paraId="773A6CA0">
      <w:pPr>
        <w:spacing w:line="360" w:lineRule="auto"/>
        <w:ind w:firstLine="420" w:firstLineChars="200"/>
        <w:rPr>
          <w:rFonts w:ascii="宋体" w:hAnsi="宋体"/>
          <w:sz w:val="21"/>
        </w:rPr>
      </w:pPr>
      <w:r>
        <w:rPr>
          <w:rFonts w:hint="eastAsia" w:ascii="宋体" w:hAnsi="宋体"/>
          <w:sz w:val="21"/>
        </w:rPr>
        <w:t>我公司作为本次采购项目的投标人，根据招标文件要求，现郑重承诺如下：</w:t>
      </w:r>
    </w:p>
    <w:p w14:paraId="2B73A2D8">
      <w:pPr>
        <w:spacing w:line="360" w:lineRule="auto"/>
        <w:ind w:firstLine="420" w:firstLineChars="200"/>
        <w:rPr>
          <w:rFonts w:ascii="宋体" w:hAnsi="宋体"/>
          <w:sz w:val="21"/>
        </w:rPr>
      </w:pPr>
      <w:r>
        <w:rPr>
          <w:rFonts w:hint="eastAsia" w:ascii="宋体" w:hAnsi="宋体"/>
          <w:sz w:val="21"/>
        </w:rPr>
        <w:t>一、具备《中华人民共和国政府采购法》第二十二条第一款和本项目规定的条件：</w:t>
      </w:r>
    </w:p>
    <w:p w14:paraId="76F53783">
      <w:pPr>
        <w:spacing w:line="360" w:lineRule="auto"/>
        <w:ind w:firstLine="420" w:firstLineChars="200"/>
        <w:rPr>
          <w:rFonts w:ascii="宋体" w:hAnsi="宋体"/>
          <w:sz w:val="21"/>
        </w:rPr>
      </w:pPr>
      <w:r>
        <w:rPr>
          <w:rFonts w:hint="eastAsia" w:ascii="宋体" w:hAnsi="宋体"/>
          <w:sz w:val="21"/>
        </w:rPr>
        <w:t>（一）具有独立承担民事责任的能力；</w:t>
      </w:r>
    </w:p>
    <w:p w14:paraId="065500CB">
      <w:pPr>
        <w:spacing w:line="360" w:lineRule="auto"/>
        <w:ind w:firstLine="420" w:firstLineChars="200"/>
        <w:rPr>
          <w:rFonts w:ascii="宋体" w:hAnsi="宋体"/>
          <w:sz w:val="21"/>
        </w:rPr>
      </w:pPr>
      <w:r>
        <w:rPr>
          <w:rFonts w:hint="eastAsia" w:ascii="宋体" w:hAnsi="宋体"/>
          <w:sz w:val="21"/>
        </w:rPr>
        <w:t>（二）具有良好的商业信誉和健全的财务会计制度；</w:t>
      </w:r>
    </w:p>
    <w:p w14:paraId="53827643">
      <w:pPr>
        <w:spacing w:line="360" w:lineRule="auto"/>
        <w:ind w:firstLine="420" w:firstLineChars="200"/>
        <w:rPr>
          <w:rFonts w:ascii="宋体" w:hAnsi="宋体"/>
          <w:sz w:val="21"/>
        </w:rPr>
      </w:pPr>
      <w:r>
        <w:rPr>
          <w:rFonts w:hint="eastAsia" w:ascii="宋体" w:hAnsi="宋体"/>
          <w:sz w:val="21"/>
        </w:rPr>
        <w:t>（三）具有履行合同所必需的设备和专业技术能力；</w:t>
      </w:r>
    </w:p>
    <w:p w14:paraId="45FF5300">
      <w:pPr>
        <w:spacing w:line="360" w:lineRule="auto"/>
        <w:ind w:firstLine="420" w:firstLineChars="200"/>
        <w:rPr>
          <w:rFonts w:ascii="宋体" w:hAnsi="宋体"/>
          <w:sz w:val="21"/>
        </w:rPr>
      </w:pPr>
      <w:r>
        <w:rPr>
          <w:rFonts w:hint="eastAsia" w:ascii="宋体" w:hAnsi="宋体"/>
          <w:sz w:val="21"/>
        </w:rPr>
        <w:t>（四）有依法缴纳税收和社会保障资金的良好记录；</w:t>
      </w:r>
    </w:p>
    <w:p w14:paraId="208A5A4E">
      <w:pPr>
        <w:spacing w:line="360" w:lineRule="auto"/>
        <w:ind w:firstLine="420" w:firstLineChars="200"/>
        <w:rPr>
          <w:rFonts w:ascii="宋体" w:hAnsi="宋体"/>
          <w:sz w:val="21"/>
        </w:rPr>
      </w:pPr>
      <w:r>
        <w:rPr>
          <w:rFonts w:hint="eastAsia" w:ascii="宋体" w:hAnsi="宋体"/>
          <w:sz w:val="21"/>
        </w:rPr>
        <w:t>（五）参加政府采购活动前三年内，在经营活动中没有重大违法记录；</w:t>
      </w:r>
    </w:p>
    <w:p w14:paraId="62CD5571">
      <w:pPr>
        <w:spacing w:line="360" w:lineRule="auto"/>
        <w:ind w:firstLine="420" w:firstLineChars="200"/>
        <w:rPr>
          <w:rFonts w:ascii="宋体" w:hAnsi="宋体"/>
          <w:sz w:val="21"/>
        </w:rPr>
      </w:pPr>
      <w:r>
        <w:rPr>
          <w:rFonts w:hint="eastAsia" w:ascii="宋体" w:hAnsi="宋体"/>
          <w:sz w:val="21"/>
        </w:rPr>
        <w:t>（六）法律、行政法规规定的其他条件；</w:t>
      </w:r>
    </w:p>
    <w:p w14:paraId="37E195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sz w:val="21"/>
          <w:lang w:eastAsia="zh-CN"/>
        </w:rPr>
      </w:pPr>
      <w:r>
        <w:rPr>
          <w:rFonts w:hint="eastAsia" w:ascii="宋体" w:hAnsi="宋体"/>
          <w:sz w:val="21"/>
        </w:rPr>
        <w:t>（七）</w:t>
      </w:r>
      <w:r>
        <w:rPr>
          <w:rFonts w:hint="eastAsia"/>
          <w:sz w:val="21"/>
          <w:szCs w:val="21"/>
        </w:rPr>
        <w:t>未被列入失信被执行人、重大税收违法失信主体、政府采购严重违法失信行为记录名单</w:t>
      </w:r>
      <w:r>
        <w:rPr>
          <w:rFonts w:hint="eastAsia"/>
          <w:sz w:val="21"/>
          <w:szCs w:val="21"/>
          <w:lang w:eastAsia="zh-CN"/>
        </w:rPr>
        <w:t>；</w:t>
      </w:r>
    </w:p>
    <w:p w14:paraId="79832DEC">
      <w:pPr>
        <w:spacing w:line="360" w:lineRule="auto"/>
        <w:ind w:firstLine="420" w:firstLineChars="200"/>
        <w:rPr>
          <w:rFonts w:ascii="宋体" w:hAnsi="宋体"/>
          <w:sz w:val="21"/>
        </w:rPr>
      </w:pPr>
      <w:r>
        <w:rPr>
          <w:rFonts w:hint="eastAsia" w:ascii="宋体" w:hAnsi="宋体"/>
          <w:sz w:val="21"/>
          <w:lang w:eastAsia="zh-CN"/>
        </w:rPr>
        <w:t>（</w:t>
      </w:r>
      <w:r>
        <w:rPr>
          <w:rFonts w:hint="eastAsia" w:ascii="宋体" w:hAnsi="宋体"/>
          <w:sz w:val="21"/>
          <w:lang w:val="en-US" w:eastAsia="zh-CN"/>
        </w:rPr>
        <w:t>八</w:t>
      </w:r>
      <w:r>
        <w:rPr>
          <w:rFonts w:hint="eastAsia" w:ascii="宋体" w:hAnsi="宋体"/>
          <w:sz w:val="21"/>
          <w:lang w:eastAsia="zh-CN"/>
        </w:rPr>
        <w:t>）</w:t>
      </w:r>
      <w:r>
        <w:rPr>
          <w:rFonts w:hint="eastAsia" w:ascii="宋体" w:hAnsi="宋体"/>
          <w:sz w:val="21"/>
        </w:rPr>
        <w:t>根据采购项目提出的特殊条件。</w:t>
      </w:r>
    </w:p>
    <w:p w14:paraId="17003F18">
      <w:pPr>
        <w:spacing w:line="360" w:lineRule="auto"/>
        <w:ind w:firstLine="420" w:firstLineChars="200"/>
        <w:rPr>
          <w:rFonts w:ascii="宋体" w:hAnsi="宋体"/>
          <w:sz w:val="21"/>
        </w:rPr>
      </w:pPr>
      <w:r>
        <w:rPr>
          <w:rFonts w:hint="eastAsia" w:ascii="宋体" w:hAnsi="宋体"/>
          <w:sz w:val="21"/>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14:paraId="4056E7D2">
      <w:pPr>
        <w:spacing w:line="360" w:lineRule="auto"/>
        <w:ind w:firstLine="420" w:firstLineChars="200"/>
        <w:rPr>
          <w:rFonts w:ascii="宋体" w:hAnsi="宋体"/>
          <w:sz w:val="21"/>
        </w:rPr>
      </w:pPr>
      <w:r>
        <w:rPr>
          <w:rFonts w:hint="eastAsia" w:ascii="宋体" w:hAnsi="宋体"/>
          <w:sz w:val="21"/>
        </w:rPr>
        <w:t>三、参加本次招标采购活动，不存在与单位负责人为同一人或者存在直接控股、管理关系的其他供应商参与同一合同项下的政府采购活动的行为。</w:t>
      </w:r>
    </w:p>
    <w:p w14:paraId="7635CE74">
      <w:pPr>
        <w:spacing w:line="360" w:lineRule="auto"/>
        <w:ind w:firstLine="420" w:firstLineChars="200"/>
        <w:rPr>
          <w:rFonts w:ascii="宋体" w:hAnsi="宋体"/>
          <w:sz w:val="21"/>
        </w:rPr>
      </w:pPr>
      <w:r>
        <w:rPr>
          <w:rFonts w:hint="eastAsia" w:ascii="宋体" w:hAnsi="宋体"/>
          <w:sz w:val="21"/>
        </w:rPr>
        <w:t>四、参加本次招标采购活动，不存在为采购项目提供整体设计、规范编制或者项目管理、监理、检测等服务的行为。</w:t>
      </w:r>
    </w:p>
    <w:p w14:paraId="44F956D1">
      <w:pPr>
        <w:spacing w:line="360" w:lineRule="auto"/>
        <w:ind w:firstLine="420" w:firstLineChars="200"/>
        <w:rPr>
          <w:rFonts w:ascii="宋体" w:hAnsi="宋体"/>
          <w:sz w:val="21"/>
        </w:rPr>
      </w:pPr>
      <w:r>
        <w:rPr>
          <w:rFonts w:hint="eastAsia" w:ascii="宋体" w:hAnsi="宋体"/>
          <w:sz w:val="21"/>
        </w:rPr>
        <w:t>五、参加本次招标采购活动，不存在和其他供应商在同一合同项下的采购项目中，同时委托同一个自然人、同一家庭的人员、同一单位的人员作为代理人的行为。</w:t>
      </w:r>
    </w:p>
    <w:p w14:paraId="2CFBC1E5">
      <w:pPr>
        <w:spacing w:line="360" w:lineRule="auto"/>
        <w:ind w:firstLine="420" w:firstLineChars="200"/>
        <w:rPr>
          <w:rFonts w:ascii="宋体" w:hAnsi="宋体"/>
          <w:sz w:val="21"/>
        </w:rPr>
      </w:pPr>
      <w:r>
        <w:rPr>
          <w:rFonts w:hint="eastAsia" w:ascii="宋体" w:hAnsi="宋体"/>
          <w:sz w:val="21"/>
        </w:rPr>
        <w:t>六、投标人参加本次政府采购活动要求在近三年内投标人和其法定代表人没有行贿犯罪行为。</w:t>
      </w:r>
    </w:p>
    <w:p w14:paraId="225CD20D">
      <w:pPr>
        <w:spacing w:line="360" w:lineRule="auto"/>
        <w:ind w:firstLine="420" w:firstLineChars="200"/>
        <w:rPr>
          <w:rFonts w:ascii="宋体" w:hAnsi="宋体"/>
          <w:sz w:val="21"/>
        </w:rPr>
      </w:pPr>
      <w:r>
        <w:rPr>
          <w:rFonts w:hint="eastAsia" w:ascii="宋体" w:hAnsi="宋体"/>
          <w:sz w:val="21"/>
        </w:rPr>
        <w:t>七、投标文件中提供的能够给予我公司带来优惠、好处的任何材料资料和技术、服务、商务等响应承诺情况都是真实的、有效的、合法的。</w:t>
      </w:r>
    </w:p>
    <w:p w14:paraId="5A297B83">
      <w:pPr>
        <w:spacing w:line="360" w:lineRule="auto"/>
        <w:ind w:firstLine="420" w:firstLineChars="200"/>
        <w:rPr>
          <w:rFonts w:ascii="宋体" w:hAnsi="宋体"/>
          <w:sz w:val="21"/>
        </w:rPr>
      </w:pPr>
      <w:r>
        <w:rPr>
          <w:rFonts w:hint="eastAsia" w:ascii="宋体" w:hAnsi="宋体"/>
          <w:sz w:val="21"/>
        </w:rPr>
        <w:t>八、如本项目评标过程中需要提供样品，则我公司提供的样品即为中标后将要提供的中标产品，我公司对提供样品的性能和质量负责，因样品存在缺陷或者不符合招标文件要求导致未能中标的，我公司愿意承担相应不利后果。（如提供样品）</w:t>
      </w:r>
    </w:p>
    <w:p w14:paraId="5415BB66">
      <w:pPr>
        <w:spacing w:line="360" w:lineRule="auto"/>
        <w:ind w:firstLine="420" w:firstLineChars="200"/>
        <w:rPr>
          <w:rFonts w:ascii="宋体" w:hAnsi="宋体"/>
          <w:sz w:val="21"/>
        </w:rPr>
      </w:pPr>
      <w:r>
        <w:rPr>
          <w:rFonts w:hint="eastAsia" w:ascii="宋体" w:hAnsi="宋体"/>
          <w:sz w:val="21"/>
        </w:rPr>
        <w:t>九、存在以下行为之一的愿意接受相关部门的处理：</w:t>
      </w:r>
    </w:p>
    <w:p w14:paraId="31C93A1A">
      <w:pPr>
        <w:spacing w:line="360" w:lineRule="auto"/>
        <w:ind w:firstLine="420" w:firstLineChars="200"/>
        <w:rPr>
          <w:rFonts w:ascii="宋体" w:hAnsi="宋体"/>
          <w:sz w:val="21"/>
        </w:rPr>
      </w:pPr>
      <w:r>
        <w:rPr>
          <w:rFonts w:hint="eastAsia" w:ascii="宋体" w:hAnsi="宋体"/>
          <w:sz w:val="21"/>
        </w:rPr>
        <w:t>（一）投标有效期内撤销响应文件的；</w:t>
      </w:r>
    </w:p>
    <w:p w14:paraId="4C2710F4">
      <w:pPr>
        <w:spacing w:line="360" w:lineRule="auto"/>
        <w:ind w:firstLine="420" w:firstLineChars="200"/>
        <w:rPr>
          <w:rFonts w:ascii="宋体" w:hAnsi="宋体"/>
          <w:sz w:val="21"/>
        </w:rPr>
      </w:pPr>
      <w:r>
        <w:rPr>
          <w:rFonts w:hint="eastAsia" w:ascii="宋体" w:hAnsi="宋体"/>
          <w:sz w:val="21"/>
        </w:rPr>
        <w:t>（二）在采购人确定中标人以前放弃中标候选资格的；</w:t>
      </w:r>
    </w:p>
    <w:p w14:paraId="7B3AB585">
      <w:pPr>
        <w:spacing w:line="360" w:lineRule="auto"/>
        <w:ind w:firstLine="420" w:firstLineChars="200"/>
        <w:rPr>
          <w:rFonts w:ascii="宋体" w:hAnsi="宋体"/>
          <w:sz w:val="21"/>
        </w:rPr>
      </w:pPr>
      <w:r>
        <w:rPr>
          <w:rFonts w:hint="eastAsia" w:ascii="宋体" w:hAnsi="宋体"/>
          <w:sz w:val="21"/>
        </w:rPr>
        <w:t>（三）由于中标人的原因未能按照招标文件的规定与采购人签订合同；</w:t>
      </w:r>
    </w:p>
    <w:p w14:paraId="626B8EDD">
      <w:pPr>
        <w:spacing w:line="360" w:lineRule="auto"/>
        <w:ind w:firstLine="420" w:firstLineChars="200"/>
        <w:rPr>
          <w:rFonts w:ascii="宋体" w:hAnsi="宋体"/>
          <w:sz w:val="21"/>
        </w:rPr>
      </w:pPr>
      <w:r>
        <w:rPr>
          <w:rFonts w:hint="eastAsia" w:ascii="宋体" w:hAnsi="宋体"/>
          <w:sz w:val="21"/>
        </w:rPr>
        <w:t>（四）由于中标人的原因未能按照招标文件的规定交纳履约保证金；</w:t>
      </w:r>
    </w:p>
    <w:p w14:paraId="7B092AF3">
      <w:pPr>
        <w:spacing w:line="360" w:lineRule="auto"/>
        <w:ind w:firstLine="420" w:firstLineChars="200"/>
        <w:rPr>
          <w:rFonts w:ascii="宋体" w:hAnsi="宋体"/>
          <w:sz w:val="21"/>
        </w:rPr>
      </w:pPr>
      <w:r>
        <w:rPr>
          <w:rFonts w:hint="eastAsia" w:ascii="宋体" w:hAnsi="宋体"/>
          <w:sz w:val="21"/>
        </w:rPr>
        <w:t>（五）在投标文件中提供虚假材料谋取中标；</w:t>
      </w:r>
    </w:p>
    <w:p w14:paraId="7839E271">
      <w:pPr>
        <w:spacing w:line="360" w:lineRule="auto"/>
        <w:ind w:firstLine="420" w:firstLineChars="200"/>
        <w:rPr>
          <w:rFonts w:ascii="宋体" w:hAnsi="宋体"/>
          <w:sz w:val="21"/>
        </w:rPr>
      </w:pPr>
      <w:r>
        <w:rPr>
          <w:rFonts w:hint="eastAsia" w:ascii="宋体" w:hAnsi="宋体"/>
          <w:sz w:val="21"/>
        </w:rPr>
        <w:t>（六）与采购人、其他供应商或者采购代理机构恶意串通的；</w:t>
      </w:r>
    </w:p>
    <w:p w14:paraId="56774FF2">
      <w:pPr>
        <w:spacing w:line="360" w:lineRule="auto"/>
        <w:ind w:firstLine="420" w:firstLineChars="200"/>
        <w:rPr>
          <w:rFonts w:ascii="宋体" w:hAnsi="宋体"/>
          <w:sz w:val="21"/>
        </w:rPr>
      </w:pPr>
      <w:r>
        <w:rPr>
          <w:rFonts w:hint="eastAsia" w:ascii="宋体" w:hAnsi="宋体"/>
          <w:sz w:val="21"/>
        </w:rPr>
        <w:t>（七）投标有效期内，投标人在政府采购活动中有违法、违规、违纪行为。</w:t>
      </w:r>
    </w:p>
    <w:p w14:paraId="1AB12EAB">
      <w:pPr>
        <w:spacing w:line="360" w:lineRule="auto"/>
        <w:ind w:firstLine="420" w:firstLineChars="200"/>
        <w:rPr>
          <w:rFonts w:ascii="宋体" w:hAnsi="宋体"/>
          <w:sz w:val="21"/>
        </w:rPr>
      </w:pPr>
      <w:r>
        <w:rPr>
          <w:rFonts w:hint="eastAsia" w:ascii="宋体" w:hAnsi="宋体"/>
          <w:sz w:val="21"/>
        </w:rPr>
        <w:t>由此产生的一切法律后果和责任由我公司承担。我公司声明放弃对此提出任何异议和追索的权利。</w:t>
      </w:r>
    </w:p>
    <w:p w14:paraId="38E57BAF">
      <w:pPr>
        <w:spacing w:line="360" w:lineRule="auto"/>
        <w:ind w:firstLine="420" w:firstLineChars="200"/>
        <w:rPr>
          <w:rFonts w:ascii="宋体" w:hAnsi="宋体"/>
          <w:sz w:val="21"/>
        </w:rPr>
      </w:pPr>
      <w:r>
        <w:rPr>
          <w:rFonts w:hint="eastAsia" w:ascii="宋体" w:hAnsi="宋体"/>
          <w:sz w:val="21"/>
        </w:rPr>
        <w:t>本公司对上述承诺的内容事项真实性负责。如经查实上述承诺的内容事项存在虚假，我公司愿意接受以提供虚假材料谋取中标追究法律责任。</w:t>
      </w:r>
    </w:p>
    <w:p w14:paraId="60532944">
      <w:pPr>
        <w:spacing w:line="360" w:lineRule="auto"/>
        <w:rPr>
          <w:rFonts w:ascii="宋体" w:hAnsi="宋体"/>
          <w:sz w:val="21"/>
        </w:rPr>
      </w:pPr>
    </w:p>
    <w:p w14:paraId="377BBD5F">
      <w:pPr>
        <w:spacing w:line="360" w:lineRule="auto"/>
        <w:ind w:firstLine="420" w:firstLineChars="200"/>
        <w:rPr>
          <w:rFonts w:ascii="宋体" w:hAnsi="宋体" w:cs="宋体"/>
          <w:sz w:val="21"/>
          <w:szCs w:val="21"/>
        </w:rPr>
      </w:pPr>
      <w:r>
        <w:rPr>
          <w:rFonts w:hint="eastAsia" w:ascii="宋体" w:hAnsi="宋体" w:cs="宋体"/>
          <w:sz w:val="21"/>
          <w:szCs w:val="21"/>
          <w:lang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71A260C5">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63629337">
      <w:pPr>
        <w:spacing w:line="360" w:lineRule="auto"/>
        <w:ind w:right="1260" w:firstLine="420" w:firstLineChars="200"/>
        <w:jc w:val="right"/>
        <w:rPr>
          <w:rFonts w:ascii="宋体" w:hAnsi="宋体" w:cs="宋体"/>
          <w:sz w:val="21"/>
          <w:szCs w:val="21"/>
          <w:u w:val="single"/>
        </w:rPr>
      </w:pPr>
    </w:p>
    <w:p w14:paraId="2A6DE932">
      <w:pPr>
        <w:spacing w:line="360" w:lineRule="auto"/>
        <w:ind w:right="1260" w:firstLine="420" w:firstLineChars="200"/>
        <w:jc w:val="right"/>
        <w:rPr>
          <w:rFonts w:ascii="宋体" w:hAnsi="宋体" w:cs="宋体"/>
          <w:sz w:val="21"/>
          <w:szCs w:val="21"/>
          <w:u w:val="single"/>
        </w:rPr>
      </w:pPr>
    </w:p>
    <w:p w14:paraId="48DBF09B">
      <w:pPr>
        <w:spacing w:line="360" w:lineRule="auto"/>
        <w:ind w:right="1260" w:firstLine="420" w:firstLineChars="200"/>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245DEDD7">
      <w:pPr>
        <w:widowControl/>
        <w:jc w:val="left"/>
        <w:rPr>
          <w:rFonts w:ascii="宋体" w:hAnsi="宋体" w:cs="宋体"/>
          <w:b/>
          <w:sz w:val="28"/>
          <w:szCs w:val="28"/>
        </w:rPr>
      </w:pPr>
    </w:p>
    <w:p w14:paraId="5ABCDE57">
      <w:pPr>
        <w:rPr>
          <w:rFonts w:ascii="宋体" w:hAnsi="宋体" w:cs="宋体"/>
          <w:szCs w:val="28"/>
        </w:rPr>
      </w:pPr>
      <w:bookmarkStart w:id="1093" w:name="_Toc4264"/>
      <w:bookmarkStart w:id="1094" w:name="_Toc31974"/>
      <w:r>
        <w:rPr>
          <w:rFonts w:hint="eastAsia" w:ascii="宋体" w:hAnsi="宋体" w:cs="宋体"/>
          <w:szCs w:val="28"/>
        </w:rPr>
        <w:br w:type="page"/>
      </w:r>
    </w:p>
    <w:p w14:paraId="6D4091E0">
      <w:pPr>
        <w:pStyle w:val="5"/>
        <w:spacing w:line="380" w:lineRule="exact"/>
        <w:ind w:firstLine="0" w:firstLineChars="0"/>
        <w:jc w:val="center"/>
        <w:rPr>
          <w:rFonts w:ascii="宋体" w:hAnsi="宋体" w:cs="宋体"/>
          <w:szCs w:val="28"/>
        </w:rPr>
      </w:pPr>
      <w:bookmarkStart w:id="1095" w:name="_Toc10277"/>
      <w:bookmarkStart w:id="1096" w:name="_Toc30146"/>
      <w:r>
        <w:rPr>
          <w:rFonts w:hint="eastAsia" w:ascii="宋体" w:hAnsi="宋体" w:cs="宋体"/>
          <w:szCs w:val="28"/>
        </w:rPr>
        <w:t>十、其他资料</w:t>
      </w:r>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93"/>
      <w:bookmarkEnd w:id="1094"/>
      <w:bookmarkEnd w:id="1095"/>
      <w:bookmarkEnd w:id="1096"/>
    </w:p>
    <w:p w14:paraId="1288F93C"/>
    <w:p w14:paraId="18026F2E">
      <w:pPr>
        <w:jc w:val="center"/>
        <w:rPr>
          <w:spacing w:val="6"/>
          <w:sz w:val="21"/>
          <w:szCs w:val="21"/>
        </w:rPr>
      </w:pPr>
      <w:r>
        <w:rPr>
          <w:rFonts w:hint="eastAsia"/>
        </w:rPr>
        <w:t>（</w:t>
      </w:r>
      <w:r>
        <w:rPr>
          <w:rFonts w:hint="eastAsia"/>
          <w:lang w:eastAsia="zh-CN"/>
        </w:rPr>
        <w:t>供应商</w:t>
      </w:r>
      <w:r>
        <w:rPr>
          <w:rFonts w:hint="eastAsia"/>
        </w:rPr>
        <w:t>认为应附的其他资料）</w:t>
      </w:r>
      <w:bookmarkStart w:id="1097" w:name="_Toc11260"/>
      <w:bookmarkStart w:id="1098" w:name="_Hlk492844196"/>
      <w:bookmarkStart w:id="1099" w:name="_Toc32585_WPSOffice_Level2"/>
      <w:bookmarkStart w:id="1100" w:name="_Toc1613_WPSOffice_Level2"/>
      <w:bookmarkStart w:id="1101" w:name="_Toc497920545"/>
      <w:bookmarkStart w:id="1102" w:name="_Toc31382"/>
      <w:bookmarkStart w:id="1103" w:name="_Toc31036"/>
      <w:bookmarkStart w:id="1104" w:name="_Toc32599_WPSOffice_Level2"/>
    </w:p>
    <w:bookmarkEnd w:id="1097"/>
    <w:bookmarkEnd w:id="1098"/>
    <w:bookmarkEnd w:id="1099"/>
    <w:bookmarkEnd w:id="1100"/>
    <w:bookmarkEnd w:id="1101"/>
    <w:bookmarkEnd w:id="1102"/>
    <w:bookmarkEnd w:id="1103"/>
    <w:bookmarkEnd w:id="1104"/>
    <w:p w14:paraId="37F5DD69">
      <w:pPr>
        <w:rPr>
          <w:rFonts w:ascii="宋体" w:hAnsi="宋体"/>
          <w:b/>
        </w:rPr>
      </w:pPr>
    </w:p>
    <w:p w14:paraId="550AF550">
      <w:pPr>
        <w:pStyle w:val="56"/>
        <w:spacing w:line="432" w:lineRule="auto"/>
        <w:rPr>
          <w:rStyle w:val="57"/>
          <w:rFonts w:ascii="仿宋" w:eastAsia="仿宋" w:cs="仿宋"/>
          <w:sz w:val="28"/>
          <w:szCs w:val="28"/>
        </w:rPr>
      </w:pPr>
    </w:p>
    <w:p w14:paraId="6F7A56C9">
      <w:pPr>
        <w:pStyle w:val="56"/>
        <w:spacing w:line="432" w:lineRule="auto"/>
        <w:rPr>
          <w:rStyle w:val="57"/>
          <w:rFonts w:ascii="仿宋" w:eastAsia="仿宋" w:cs="仿宋"/>
          <w:sz w:val="28"/>
          <w:szCs w:val="28"/>
        </w:rPr>
      </w:pPr>
    </w:p>
    <w:p w14:paraId="1C05F61C">
      <w:pPr>
        <w:pStyle w:val="56"/>
        <w:spacing w:line="432" w:lineRule="auto"/>
        <w:rPr>
          <w:rStyle w:val="57"/>
          <w:rFonts w:ascii="仿宋" w:eastAsia="仿宋" w:cs="仿宋"/>
          <w:sz w:val="28"/>
          <w:szCs w:val="28"/>
        </w:rPr>
      </w:pPr>
    </w:p>
    <w:p w14:paraId="7A709590">
      <w:pPr>
        <w:pStyle w:val="56"/>
        <w:spacing w:line="432" w:lineRule="auto"/>
        <w:rPr>
          <w:rStyle w:val="57"/>
          <w:rFonts w:ascii="仿宋" w:eastAsia="仿宋" w:cs="仿宋"/>
          <w:sz w:val="28"/>
          <w:szCs w:val="28"/>
        </w:rPr>
      </w:pPr>
    </w:p>
    <w:p w14:paraId="2609A786">
      <w:pPr>
        <w:pStyle w:val="56"/>
        <w:spacing w:line="432" w:lineRule="auto"/>
        <w:rPr>
          <w:rStyle w:val="57"/>
          <w:rFonts w:ascii="仿宋" w:eastAsia="仿宋" w:cs="仿宋"/>
          <w:sz w:val="28"/>
          <w:szCs w:val="28"/>
        </w:rPr>
      </w:pPr>
    </w:p>
    <w:p w14:paraId="6A1021F4">
      <w:pPr>
        <w:pStyle w:val="56"/>
        <w:spacing w:line="432" w:lineRule="auto"/>
        <w:rPr>
          <w:rStyle w:val="57"/>
          <w:rFonts w:ascii="仿宋" w:eastAsia="仿宋" w:cs="仿宋"/>
          <w:sz w:val="28"/>
          <w:szCs w:val="28"/>
        </w:rPr>
      </w:pPr>
    </w:p>
    <w:p w14:paraId="0229710F">
      <w:pPr>
        <w:pStyle w:val="56"/>
        <w:spacing w:line="432" w:lineRule="auto"/>
        <w:rPr>
          <w:rStyle w:val="57"/>
          <w:rFonts w:ascii="仿宋" w:eastAsia="仿宋" w:cs="仿宋"/>
          <w:sz w:val="28"/>
          <w:szCs w:val="28"/>
        </w:rPr>
      </w:pPr>
    </w:p>
    <w:p w14:paraId="0C26B32B">
      <w:pPr>
        <w:pStyle w:val="56"/>
        <w:spacing w:line="432" w:lineRule="auto"/>
        <w:rPr>
          <w:rStyle w:val="57"/>
          <w:rFonts w:ascii="仿宋" w:eastAsia="仿宋" w:cs="仿宋"/>
          <w:sz w:val="28"/>
          <w:szCs w:val="28"/>
        </w:rPr>
      </w:pPr>
    </w:p>
    <w:p w14:paraId="395FD1A9">
      <w:pPr>
        <w:pStyle w:val="56"/>
        <w:spacing w:line="432" w:lineRule="auto"/>
        <w:rPr>
          <w:rStyle w:val="57"/>
          <w:rFonts w:ascii="仿宋" w:eastAsia="仿宋" w:cs="仿宋"/>
          <w:sz w:val="28"/>
          <w:szCs w:val="28"/>
        </w:rPr>
      </w:pPr>
    </w:p>
    <w:p w14:paraId="6EC1454F">
      <w:pPr>
        <w:pStyle w:val="56"/>
        <w:spacing w:line="432" w:lineRule="auto"/>
        <w:rPr>
          <w:rStyle w:val="57"/>
          <w:rFonts w:ascii="仿宋" w:eastAsia="仿宋" w:cs="仿宋"/>
          <w:sz w:val="28"/>
          <w:szCs w:val="28"/>
        </w:rPr>
      </w:pPr>
    </w:p>
    <w:p w14:paraId="2B2CBA69">
      <w:pPr>
        <w:pStyle w:val="56"/>
        <w:spacing w:line="432" w:lineRule="auto"/>
        <w:rPr>
          <w:rStyle w:val="57"/>
          <w:rFonts w:ascii="仿宋" w:eastAsia="仿宋" w:cs="仿宋"/>
          <w:sz w:val="28"/>
          <w:szCs w:val="28"/>
        </w:rPr>
      </w:pPr>
    </w:p>
    <w:p w14:paraId="7A2E3E22">
      <w:pPr>
        <w:pStyle w:val="56"/>
        <w:spacing w:line="432" w:lineRule="auto"/>
        <w:rPr>
          <w:rStyle w:val="57"/>
          <w:rFonts w:ascii="仿宋" w:eastAsia="仿宋" w:cs="仿宋"/>
          <w:sz w:val="28"/>
          <w:szCs w:val="28"/>
        </w:rPr>
      </w:pPr>
    </w:p>
    <w:p w14:paraId="2F59A89A">
      <w:pPr>
        <w:pStyle w:val="56"/>
        <w:spacing w:line="432" w:lineRule="auto"/>
        <w:rPr>
          <w:rStyle w:val="57"/>
          <w:rFonts w:ascii="仿宋" w:eastAsia="仿宋" w:cs="仿宋"/>
          <w:sz w:val="28"/>
          <w:szCs w:val="28"/>
        </w:rPr>
      </w:pPr>
    </w:p>
    <w:p w14:paraId="311C92C6">
      <w:pPr>
        <w:pStyle w:val="56"/>
        <w:spacing w:line="432" w:lineRule="auto"/>
        <w:rPr>
          <w:rStyle w:val="57"/>
          <w:rFonts w:ascii="仿宋" w:eastAsia="仿宋" w:cs="仿宋"/>
          <w:sz w:val="28"/>
          <w:szCs w:val="28"/>
        </w:rPr>
      </w:pPr>
    </w:p>
    <w:p w14:paraId="5588B3D6">
      <w:pPr>
        <w:pStyle w:val="56"/>
        <w:spacing w:line="432" w:lineRule="auto"/>
        <w:rPr>
          <w:rStyle w:val="57"/>
          <w:rFonts w:ascii="仿宋" w:eastAsia="仿宋" w:cs="仿宋"/>
          <w:sz w:val="28"/>
          <w:szCs w:val="28"/>
        </w:rPr>
      </w:pPr>
    </w:p>
    <w:p w14:paraId="28599AB6">
      <w:pPr>
        <w:pStyle w:val="56"/>
        <w:spacing w:line="432" w:lineRule="auto"/>
        <w:rPr>
          <w:rStyle w:val="57"/>
          <w:rFonts w:ascii="仿宋" w:eastAsia="仿宋" w:cs="仿宋"/>
          <w:sz w:val="28"/>
          <w:szCs w:val="28"/>
        </w:rPr>
      </w:pPr>
    </w:p>
    <w:p w14:paraId="1D49E319">
      <w:pPr>
        <w:pStyle w:val="56"/>
        <w:spacing w:line="432" w:lineRule="auto"/>
        <w:rPr>
          <w:rStyle w:val="57"/>
          <w:rFonts w:ascii="仿宋" w:eastAsia="仿宋" w:cs="仿宋"/>
          <w:sz w:val="28"/>
          <w:szCs w:val="28"/>
        </w:rPr>
      </w:pPr>
    </w:p>
    <w:p w14:paraId="21A9C925">
      <w:pPr>
        <w:pStyle w:val="56"/>
        <w:spacing w:line="432" w:lineRule="auto"/>
        <w:rPr>
          <w:rStyle w:val="57"/>
          <w:rFonts w:ascii="仿宋" w:eastAsia="仿宋" w:cs="仿宋"/>
          <w:sz w:val="28"/>
          <w:szCs w:val="28"/>
        </w:rPr>
      </w:pPr>
    </w:p>
    <w:p w14:paraId="5CCE81B0">
      <w:pPr>
        <w:keepNext/>
        <w:keepLines/>
        <w:spacing w:line="360" w:lineRule="auto"/>
        <w:jc w:val="left"/>
        <w:rPr>
          <w:rFonts w:ascii="宋体" w:hAnsi="宋体" w:cs="宋体"/>
          <w:b/>
          <w:spacing w:val="6"/>
          <w:sz w:val="21"/>
          <w:szCs w:val="21"/>
        </w:rPr>
      </w:pPr>
      <w:r>
        <w:rPr>
          <w:rFonts w:ascii="宋体" w:hAnsi="宋体" w:cs="宋体"/>
          <w:b/>
          <w:spacing w:val="6"/>
          <w:sz w:val="21"/>
          <w:szCs w:val="21"/>
        </w:rPr>
        <w:br w:type="page"/>
      </w:r>
      <w:r>
        <w:rPr>
          <w:rFonts w:hint="eastAsia" w:ascii="宋体" w:hAnsi="宋体" w:cs="宋体"/>
          <w:b/>
          <w:spacing w:val="6"/>
          <w:sz w:val="21"/>
          <w:szCs w:val="21"/>
        </w:rPr>
        <w:t>附件1：</w:t>
      </w:r>
    </w:p>
    <w:p w14:paraId="45008841">
      <w:pPr>
        <w:pStyle w:val="53"/>
        <w:spacing w:line="360" w:lineRule="auto"/>
        <w:jc w:val="center"/>
        <w:rPr>
          <w:b/>
          <w:sz w:val="32"/>
        </w:rPr>
      </w:pPr>
      <w:r>
        <w:rPr>
          <w:rFonts w:hint="eastAsia"/>
          <w:b/>
          <w:sz w:val="32"/>
        </w:rPr>
        <w:t>投报业绩一览表</w:t>
      </w:r>
    </w:p>
    <w:tbl>
      <w:tblPr>
        <w:tblStyle w:val="95"/>
        <w:tblW w:w="9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2177"/>
        <w:gridCol w:w="1275"/>
        <w:gridCol w:w="2009"/>
        <w:gridCol w:w="1166"/>
        <w:gridCol w:w="1484"/>
        <w:gridCol w:w="1182"/>
      </w:tblGrid>
      <w:tr w14:paraId="2B1D4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638" w:type="dxa"/>
            <w:vAlign w:val="center"/>
          </w:tcPr>
          <w:p w14:paraId="361AF838">
            <w:pPr>
              <w:jc w:val="center"/>
              <w:rPr>
                <w:rFonts w:ascii="宋体" w:hAnsi="宋体"/>
                <w:sz w:val="21"/>
                <w:szCs w:val="21"/>
              </w:rPr>
            </w:pPr>
            <w:r>
              <w:rPr>
                <w:rFonts w:hint="eastAsia" w:ascii="宋体" w:hAnsi="宋体"/>
                <w:sz w:val="21"/>
                <w:szCs w:val="21"/>
              </w:rPr>
              <w:t>序号</w:t>
            </w:r>
          </w:p>
        </w:tc>
        <w:tc>
          <w:tcPr>
            <w:tcW w:w="2177" w:type="dxa"/>
            <w:vAlign w:val="center"/>
          </w:tcPr>
          <w:p w14:paraId="7A6B13C7">
            <w:pPr>
              <w:jc w:val="center"/>
              <w:rPr>
                <w:rFonts w:ascii="宋体" w:hAnsi="宋体"/>
                <w:sz w:val="21"/>
                <w:szCs w:val="21"/>
              </w:rPr>
            </w:pPr>
            <w:r>
              <w:rPr>
                <w:rFonts w:hint="eastAsia" w:ascii="宋体" w:hAnsi="宋体"/>
                <w:sz w:val="21"/>
                <w:szCs w:val="21"/>
              </w:rPr>
              <w:t>项目名称</w:t>
            </w:r>
          </w:p>
        </w:tc>
        <w:tc>
          <w:tcPr>
            <w:tcW w:w="1275" w:type="dxa"/>
            <w:vAlign w:val="center"/>
          </w:tcPr>
          <w:p w14:paraId="1269BEDC">
            <w:pPr>
              <w:jc w:val="center"/>
              <w:rPr>
                <w:rFonts w:ascii="宋体" w:hAnsi="宋体"/>
                <w:sz w:val="21"/>
                <w:szCs w:val="21"/>
              </w:rPr>
            </w:pPr>
            <w:r>
              <w:rPr>
                <w:rFonts w:hint="eastAsia" w:ascii="宋体" w:hAnsi="宋体"/>
                <w:sz w:val="21"/>
                <w:szCs w:val="21"/>
              </w:rPr>
              <w:t>项目负责人姓名</w:t>
            </w:r>
          </w:p>
        </w:tc>
        <w:tc>
          <w:tcPr>
            <w:tcW w:w="2009" w:type="dxa"/>
            <w:vAlign w:val="center"/>
          </w:tcPr>
          <w:p w14:paraId="2C497E7D">
            <w:pPr>
              <w:jc w:val="center"/>
              <w:rPr>
                <w:rFonts w:ascii="宋体" w:hAnsi="宋体"/>
                <w:sz w:val="21"/>
                <w:szCs w:val="21"/>
              </w:rPr>
            </w:pPr>
            <w:r>
              <w:rPr>
                <w:rFonts w:hint="eastAsia" w:ascii="宋体" w:hAnsi="宋体"/>
                <w:sz w:val="21"/>
                <w:szCs w:val="21"/>
              </w:rPr>
              <w:t>中标公示查询媒体</w:t>
            </w:r>
          </w:p>
        </w:tc>
        <w:tc>
          <w:tcPr>
            <w:tcW w:w="1166" w:type="dxa"/>
            <w:vAlign w:val="center"/>
          </w:tcPr>
          <w:p w14:paraId="73326243">
            <w:pPr>
              <w:jc w:val="center"/>
              <w:rPr>
                <w:rFonts w:ascii="宋体" w:hAnsi="宋体"/>
                <w:sz w:val="21"/>
                <w:szCs w:val="21"/>
              </w:rPr>
            </w:pPr>
            <w:r>
              <w:rPr>
                <w:rFonts w:hint="eastAsia" w:ascii="宋体" w:hAnsi="宋体"/>
                <w:sz w:val="21"/>
                <w:szCs w:val="21"/>
              </w:rPr>
              <w:t>合同金额</w:t>
            </w:r>
          </w:p>
        </w:tc>
        <w:tc>
          <w:tcPr>
            <w:tcW w:w="1484" w:type="dxa"/>
            <w:vAlign w:val="center"/>
          </w:tcPr>
          <w:p w14:paraId="1B8BC01B">
            <w:pPr>
              <w:jc w:val="center"/>
              <w:rPr>
                <w:rFonts w:ascii="宋体" w:hAnsi="宋体"/>
                <w:sz w:val="21"/>
                <w:szCs w:val="21"/>
              </w:rPr>
            </w:pPr>
            <w:r>
              <w:rPr>
                <w:rFonts w:hint="eastAsia" w:ascii="宋体" w:hAnsi="宋体"/>
                <w:sz w:val="21"/>
                <w:szCs w:val="21"/>
              </w:rPr>
              <w:t>合同签订日期</w:t>
            </w:r>
          </w:p>
        </w:tc>
        <w:tc>
          <w:tcPr>
            <w:tcW w:w="1182" w:type="dxa"/>
            <w:vAlign w:val="center"/>
          </w:tcPr>
          <w:p w14:paraId="0F1ED0EE">
            <w:pPr>
              <w:jc w:val="center"/>
              <w:rPr>
                <w:rFonts w:ascii="宋体" w:hAnsi="宋体"/>
                <w:sz w:val="21"/>
                <w:szCs w:val="21"/>
              </w:rPr>
            </w:pPr>
            <w:r>
              <w:rPr>
                <w:rFonts w:hint="eastAsia" w:ascii="宋体" w:hAnsi="宋体"/>
                <w:sz w:val="21"/>
                <w:szCs w:val="21"/>
              </w:rPr>
              <w:t>验收日期</w:t>
            </w:r>
          </w:p>
        </w:tc>
      </w:tr>
      <w:tr w14:paraId="21B05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638" w:type="dxa"/>
            <w:vAlign w:val="center"/>
          </w:tcPr>
          <w:p w14:paraId="6533F882">
            <w:pPr>
              <w:jc w:val="center"/>
              <w:rPr>
                <w:rFonts w:ascii="宋体" w:hAnsi="宋体"/>
                <w:sz w:val="21"/>
                <w:szCs w:val="21"/>
              </w:rPr>
            </w:pPr>
            <w:r>
              <w:rPr>
                <w:rFonts w:hint="eastAsia" w:ascii="宋体" w:hAnsi="宋体"/>
                <w:sz w:val="21"/>
                <w:szCs w:val="21"/>
              </w:rPr>
              <w:t>1</w:t>
            </w:r>
          </w:p>
        </w:tc>
        <w:tc>
          <w:tcPr>
            <w:tcW w:w="2177" w:type="dxa"/>
            <w:vAlign w:val="center"/>
          </w:tcPr>
          <w:p w14:paraId="7E391B62">
            <w:pPr>
              <w:jc w:val="center"/>
              <w:rPr>
                <w:rFonts w:ascii="宋体" w:hAnsi="宋体"/>
                <w:sz w:val="21"/>
                <w:szCs w:val="21"/>
              </w:rPr>
            </w:pPr>
          </w:p>
        </w:tc>
        <w:tc>
          <w:tcPr>
            <w:tcW w:w="1275" w:type="dxa"/>
            <w:vAlign w:val="center"/>
          </w:tcPr>
          <w:p w14:paraId="20D62FF5">
            <w:pPr>
              <w:jc w:val="center"/>
              <w:rPr>
                <w:rFonts w:ascii="宋体" w:hAnsi="宋体"/>
                <w:sz w:val="21"/>
                <w:szCs w:val="21"/>
              </w:rPr>
            </w:pPr>
          </w:p>
        </w:tc>
        <w:tc>
          <w:tcPr>
            <w:tcW w:w="2009" w:type="dxa"/>
            <w:vAlign w:val="center"/>
          </w:tcPr>
          <w:p w14:paraId="5188AB4E">
            <w:pPr>
              <w:jc w:val="center"/>
              <w:rPr>
                <w:rFonts w:ascii="宋体" w:hAnsi="宋体"/>
                <w:sz w:val="21"/>
                <w:szCs w:val="21"/>
              </w:rPr>
            </w:pPr>
          </w:p>
        </w:tc>
        <w:tc>
          <w:tcPr>
            <w:tcW w:w="1166" w:type="dxa"/>
            <w:vAlign w:val="center"/>
          </w:tcPr>
          <w:p w14:paraId="7375B0B5">
            <w:pPr>
              <w:jc w:val="center"/>
              <w:rPr>
                <w:rFonts w:ascii="宋体" w:hAnsi="宋体"/>
                <w:sz w:val="21"/>
                <w:szCs w:val="21"/>
              </w:rPr>
            </w:pPr>
          </w:p>
        </w:tc>
        <w:tc>
          <w:tcPr>
            <w:tcW w:w="1484" w:type="dxa"/>
            <w:vAlign w:val="center"/>
          </w:tcPr>
          <w:p w14:paraId="7BE25CF1">
            <w:pPr>
              <w:jc w:val="center"/>
              <w:rPr>
                <w:rFonts w:ascii="宋体" w:hAnsi="宋体"/>
                <w:sz w:val="21"/>
                <w:szCs w:val="21"/>
              </w:rPr>
            </w:pPr>
          </w:p>
        </w:tc>
        <w:tc>
          <w:tcPr>
            <w:tcW w:w="1182" w:type="dxa"/>
            <w:vAlign w:val="center"/>
          </w:tcPr>
          <w:p w14:paraId="718ADCBD">
            <w:pPr>
              <w:jc w:val="center"/>
              <w:rPr>
                <w:rFonts w:ascii="宋体" w:hAnsi="宋体"/>
                <w:sz w:val="21"/>
                <w:szCs w:val="21"/>
              </w:rPr>
            </w:pPr>
          </w:p>
        </w:tc>
      </w:tr>
      <w:tr w14:paraId="2FFEE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8" w:type="dxa"/>
            <w:vAlign w:val="center"/>
          </w:tcPr>
          <w:p w14:paraId="455FC85D">
            <w:pPr>
              <w:jc w:val="center"/>
              <w:rPr>
                <w:rFonts w:ascii="宋体" w:hAnsi="宋体"/>
                <w:sz w:val="21"/>
                <w:szCs w:val="21"/>
              </w:rPr>
            </w:pPr>
            <w:r>
              <w:rPr>
                <w:rFonts w:hint="eastAsia" w:ascii="宋体" w:hAnsi="宋体"/>
                <w:sz w:val="21"/>
                <w:szCs w:val="21"/>
              </w:rPr>
              <w:t>……</w:t>
            </w:r>
          </w:p>
        </w:tc>
        <w:tc>
          <w:tcPr>
            <w:tcW w:w="2177" w:type="dxa"/>
            <w:vAlign w:val="center"/>
          </w:tcPr>
          <w:p w14:paraId="0218D17E">
            <w:pPr>
              <w:jc w:val="center"/>
              <w:rPr>
                <w:rFonts w:ascii="宋体" w:hAnsi="宋体"/>
                <w:sz w:val="21"/>
                <w:szCs w:val="21"/>
              </w:rPr>
            </w:pPr>
          </w:p>
        </w:tc>
        <w:tc>
          <w:tcPr>
            <w:tcW w:w="1275" w:type="dxa"/>
            <w:vAlign w:val="center"/>
          </w:tcPr>
          <w:p w14:paraId="6D02E4FD">
            <w:pPr>
              <w:jc w:val="center"/>
              <w:rPr>
                <w:rFonts w:ascii="宋体" w:hAnsi="宋体"/>
                <w:sz w:val="21"/>
                <w:szCs w:val="21"/>
              </w:rPr>
            </w:pPr>
          </w:p>
        </w:tc>
        <w:tc>
          <w:tcPr>
            <w:tcW w:w="2009" w:type="dxa"/>
            <w:vAlign w:val="center"/>
          </w:tcPr>
          <w:p w14:paraId="37D41107">
            <w:pPr>
              <w:jc w:val="center"/>
              <w:rPr>
                <w:rFonts w:ascii="宋体" w:hAnsi="宋体"/>
                <w:sz w:val="21"/>
                <w:szCs w:val="21"/>
              </w:rPr>
            </w:pPr>
          </w:p>
        </w:tc>
        <w:tc>
          <w:tcPr>
            <w:tcW w:w="1166" w:type="dxa"/>
            <w:vAlign w:val="center"/>
          </w:tcPr>
          <w:p w14:paraId="0AE0F46D">
            <w:pPr>
              <w:jc w:val="center"/>
              <w:rPr>
                <w:rFonts w:ascii="宋体" w:hAnsi="宋体"/>
                <w:sz w:val="21"/>
                <w:szCs w:val="21"/>
              </w:rPr>
            </w:pPr>
          </w:p>
        </w:tc>
        <w:tc>
          <w:tcPr>
            <w:tcW w:w="1484" w:type="dxa"/>
            <w:vAlign w:val="center"/>
          </w:tcPr>
          <w:p w14:paraId="1952DEEE">
            <w:pPr>
              <w:jc w:val="center"/>
              <w:rPr>
                <w:rFonts w:ascii="宋体" w:hAnsi="宋体"/>
                <w:sz w:val="21"/>
                <w:szCs w:val="21"/>
              </w:rPr>
            </w:pPr>
          </w:p>
        </w:tc>
        <w:tc>
          <w:tcPr>
            <w:tcW w:w="1182" w:type="dxa"/>
            <w:vAlign w:val="center"/>
          </w:tcPr>
          <w:p w14:paraId="54340A1C">
            <w:pPr>
              <w:jc w:val="center"/>
              <w:rPr>
                <w:rFonts w:ascii="宋体" w:hAnsi="宋体"/>
                <w:sz w:val="21"/>
                <w:szCs w:val="21"/>
              </w:rPr>
            </w:pPr>
          </w:p>
        </w:tc>
      </w:tr>
      <w:tr w14:paraId="230AB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638" w:type="dxa"/>
            <w:vAlign w:val="center"/>
          </w:tcPr>
          <w:p w14:paraId="7D68A5B5">
            <w:pPr>
              <w:jc w:val="center"/>
              <w:rPr>
                <w:rFonts w:ascii="宋体" w:hAnsi="宋体"/>
                <w:sz w:val="21"/>
                <w:szCs w:val="21"/>
              </w:rPr>
            </w:pPr>
          </w:p>
        </w:tc>
        <w:tc>
          <w:tcPr>
            <w:tcW w:w="2177" w:type="dxa"/>
            <w:vAlign w:val="center"/>
          </w:tcPr>
          <w:p w14:paraId="1FE7E338">
            <w:pPr>
              <w:jc w:val="center"/>
              <w:rPr>
                <w:rFonts w:ascii="宋体" w:hAnsi="宋体"/>
                <w:sz w:val="21"/>
                <w:szCs w:val="21"/>
              </w:rPr>
            </w:pPr>
          </w:p>
        </w:tc>
        <w:tc>
          <w:tcPr>
            <w:tcW w:w="1275" w:type="dxa"/>
            <w:vAlign w:val="center"/>
          </w:tcPr>
          <w:p w14:paraId="0A4036FD">
            <w:pPr>
              <w:jc w:val="center"/>
              <w:rPr>
                <w:rFonts w:ascii="宋体" w:hAnsi="宋体"/>
                <w:sz w:val="21"/>
                <w:szCs w:val="21"/>
              </w:rPr>
            </w:pPr>
          </w:p>
        </w:tc>
        <w:tc>
          <w:tcPr>
            <w:tcW w:w="2009" w:type="dxa"/>
            <w:vAlign w:val="center"/>
          </w:tcPr>
          <w:p w14:paraId="66D82E0D">
            <w:pPr>
              <w:jc w:val="center"/>
              <w:rPr>
                <w:rFonts w:ascii="宋体" w:hAnsi="宋体"/>
                <w:sz w:val="21"/>
                <w:szCs w:val="21"/>
              </w:rPr>
            </w:pPr>
          </w:p>
        </w:tc>
        <w:tc>
          <w:tcPr>
            <w:tcW w:w="1166" w:type="dxa"/>
            <w:vAlign w:val="center"/>
          </w:tcPr>
          <w:p w14:paraId="76F7A6CC">
            <w:pPr>
              <w:jc w:val="center"/>
              <w:rPr>
                <w:rFonts w:ascii="宋体" w:hAnsi="宋体"/>
                <w:sz w:val="21"/>
                <w:szCs w:val="21"/>
              </w:rPr>
            </w:pPr>
          </w:p>
        </w:tc>
        <w:tc>
          <w:tcPr>
            <w:tcW w:w="1484" w:type="dxa"/>
            <w:vAlign w:val="center"/>
          </w:tcPr>
          <w:p w14:paraId="659CD97A">
            <w:pPr>
              <w:jc w:val="center"/>
              <w:rPr>
                <w:rFonts w:ascii="宋体" w:hAnsi="宋体"/>
                <w:sz w:val="21"/>
                <w:szCs w:val="21"/>
              </w:rPr>
            </w:pPr>
          </w:p>
        </w:tc>
        <w:tc>
          <w:tcPr>
            <w:tcW w:w="1182" w:type="dxa"/>
            <w:vAlign w:val="center"/>
          </w:tcPr>
          <w:p w14:paraId="2BFB3FA7">
            <w:pPr>
              <w:jc w:val="center"/>
              <w:rPr>
                <w:rFonts w:ascii="宋体" w:hAnsi="宋体"/>
                <w:sz w:val="21"/>
                <w:szCs w:val="21"/>
              </w:rPr>
            </w:pPr>
          </w:p>
        </w:tc>
      </w:tr>
      <w:tr w14:paraId="33BDC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8" w:type="dxa"/>
            <w:vAlign w:val="center"/>
          </w:tcPr>
          <w:p w14:paraId="2A600836">
            <w:pPr>
              <w:jc w:val="center"/>
              <w:rPr>
                <w:rFonts w:ascii="宋体" w:hAnsi="宋体"/>
                <w:sz w:val="21"/>
                <w:szCs w:val="21"/>
              </w:rPr>
            </w:pPr>
          </w:p>
        </w:tc>
        <w:tc>
          <w:tcPr>
            <w:tcW w:w="2177" w:type="dxa"/>
            <w:vAlign w:val="center"/>
          </w:tcPr>
          <w:p w14:paraId="62BF34DA">
            <w:pPr>
              <w:jc w:val="center"/>
              <w:rPr>
                <w:rFonts w:ascii="宋体" w:hAnsi="宋体"/>
                <w:sz w:val="21"/>
                <w:szCs w:val="21"/>
              </w:rPr>
            </w:pPr>
          </w:p>
        </w:tc>
        <w:tc>
          <w:tcPr>
            <w:tcW w:w="1275" w:type="dxa"/>
            <w:vAlign w:val="center"/>
          </w:tcPr>
          <w:p w14:paraId="46628413">
            <w:pPr>
              <w:jc w:val="center"/>
              <w:rPr>
                <w:rFonts w:ascii="宋体" w:hAnsi="宋体"/>
                <w:sz w:val="21"/>
                <w:szCs w:val="21"/>
              </w:rPr>
            </w:pPr>
          </w:p>
        </w:tc>
        <w:tc>
          <w:tcPr>
            <w:tcW w:w="2009" w:type="dxa"/>
            <w:vAlign w:val="center"/>
          </w:tcPr>
          <w:p w14:paraId="227F47AC">
            <w:pPr>
              <w:jc w:val="center"/>
              <w:rPr>
                <w:rFonts w:ascii="宋体" w:hAnsi="宋体"/>
                <w:sz w:val="21"/>
                <w:szCs w:val="21"/>
              </w:rPr>
            </w:pPr>
          </w:p>
        </w:tc>
        <w:tc>
          <w:tcPr>
            <w:tcW w:w="1166" w:type="dxa"/>
            <w:vAlign w:val="center"/>
          </w:tcPr>
          <w:p w14:paraId="29816299">
            <w:pPr>
              <w:jc w:val="center"/>
              <w:rPr>
                <w:rFonts w:ascii="宋体" w:hAnsi="宋体"/>
                <w:sz w:val="21"/>
                <w:szCs w:val="21"/>
              </w:rPr>
            </w:pPr>
          </w:p>
        </w:tc>
        <w:tc>
          <w:tcPr>
            <w:tcW w:w="1484" w:type="dxa"/>
            <w:vAlign w:val="center"/>
          </w:tcPr>
          <w:p w14:paraId="12083D3C">
            <w:pPr>
              <w:jc w:val="center"/>
              <w:rPr>
                <w:rFonts w:ascii="宋体" w:hAnsi="宋体"/>
                <w:sz w:val="21"/>
                <w:szCs w:val="21"/>
              </w:rPr>
            </w:pPr>
          </w:p>
        </w:tc>
        <w:tc>
          <w:tcPr>
            <w:tcW w:w="1182" w:type="dxa"/>
            <w:vAlign w:val="center"/>
          </w:tcPr>
          <w:p w14:paraId="296AA7F8">
            <w:pPr>
              <w:jc w:val="center"/>
              <w:rPr>
                <w:rFonts w:ascii="宋体" w:hAnsi="宋体"/>
                <w:sz w:val="21"/>
                <w:szCs w:val="21"/>
              </w:rPr>
            </w:pPr>
          </w:p>
        </w:tc>
      </w:tr>
      <w:tr w14:paraId="24676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38" w:type="dxa"/>
            <w:vAlign w:val="center"/>
          </w:tcPr>
          <w:p w14:paraId="5B11B265">
            <w:pPr>
              <w:jc w:val="center"/>
              <w:rPr>
                <w:rFonts w:ascii="宋体" w:hAnsi="宋体"/>
                <w:sz w:val="21"/>
                <w:szCs w:val="21"/>
              </w:rPr>
            </w:pPr>
          </w:p>
        </w:tc>
        <w:tc>
          <w:tcPr>
            <w:tcW w:w="2177" w:type="dxa"/>
            <w:vAlign w:val="center"/>
          </w:tcPr>
          <w:p w14:paraId="020F06EC">
            <w:pPr>
              <w:jc w:val="center"/>
              <w:rPr>
                <w:rFonts w:ascii="宋体" w:hAnsi="宋体"/>
                <w:sz w:val="21"/>
                <w:szCs w:val="21"/>
              </w:rPr>
            </w:pPr>
          </w:p>
        </w:tc>
        <w:tc>
          <w:tcPr>
            <w:tcW w:w="1275" w:type="dxa"/>
            <w:vAlign w:val="center"/>
          </w:tcPr>
          <w:p w14:paraId="4FD615DF">
            <w:pPr>
              <w:jc w:val="center"/>
              <w:rPr>
                <w:rFonts w:ascii="宋体" w:hAnsi="宋体"/>
                <w:sz w:val="21"/>
                <w:szCs w:val="21"/>
              </w:rPr>
            </w:pPr>
          </w:p>
        </w:tc>
        <w:tc>
          <w:tcPr>
            <w:tcW w:w="2009" w:type="dxa"/>
            <w:vAlign w:val="center"/>
          </w:tcPr>
          <w:p w14:paraId="56A3D2D1">
            <w:pPr>
              <w:jc w:val="center"/>
              <w:rPr>
                <w:rFonts w:ascii="宋体" w:hAnsi="宋体"/>
                <w:sz w:val="21"/>
                <w:szCs w:val="21"/>
              </w:rPr>
            </w:pPr>
          </w:p>
        </w:tc>
        <w:tc>
          <w:tcPr>
            <w:tcW w:w="1166" w:type="dxa"/>
            <w:vAlign w:val="center"/>
          </w:tcPr>
          <w:p w14:paraId="40B443A1">
            <w:pPr>
              <w:jc w:val="center"/>
              <w:rPr>
                <w:rFonts w:ascii="宋体" w:hAnsi="宋体"/>
                <w:sz w:val="21"/>
                <w:szCs w:val="21"/>
              </w:rPr>
            </w:pPr>
          </w:p>
        </w:tc>
        <w:tc>
          <w:tcPr>
            <w:tcW w:w="1484" w:type="dxa"/>
            <w:vAlign w:val="center"/>
          </w:tcPr>
          <w:p w14:paraId="022ED022">
            <w:pPr>
              <w:jc w:val="center"/>
              <w:rPr>
                <w:rFonts w:ascii="宋体" w:hAnsi="宋体"/>
                <w:sz w:val="21"/>
                <w:szCs w:val="21"/>
              </w:rPr>
            </w:pPr>
          </w:p>
        </w:tc>
        <w:tc>
          <w:tcPr>
            <w:tcW w:w="1182" w:type="dxa"/>
            <w:vAlign w:val="center"/>
          </w:tcPr>
          <w:p w14:paraId="163C5536">
            <w:pPr>
              <w:jc w:val="center"/>
              <w:rPr>
                <w:rFonts w:ascii="宋体" w:hAnsi="宋体"/>
                <w:sz w:val="21"/>
                <w:szCs w:val="21"/>
              </w:rPr>
            </w:pPr>
          </w:p>
        </w:tc>
      </w:tr>
    </w:tbl>
    <w:p w14:paraId="47F48897">
      <w:pPr>
        <w:widowControl/>
        <w:jc w:val="left"/>
        <w:rPr>
          <w:rFonts w:ascii="宋体" w:hAnsi="宋体" w:cs="宋体"/>
          <w:spacing w:val="6"/>
          <w:sz w:val="21"/>
          <w:szCs w:val="21"/>
        </w:rPr>
      </w:pPr>
      <w:r>
        <w:rPr>
          <w:rFonts w:hint="eastAsia" w:ascii="宋体" w:hAnsi="宋体" w:cs="宋体"/>
          <w:spacing w:val="6"/>
          <w:sz w:val="21"/>
          <w:szCs w:val="21"/>
        </w:rPr>
        <w:t>注：本表只需填写在本次投标中所投报的所有业绩，用于后期结果公示，若无则划“/”。</w:t>
      </w:r>
    </w:p>
    <w:p w14:paraId="654D245E">
      <w:pPr>
        <w:widowControl/>
        <w:jc w:val="left"/>
        <w:rPr>
          <w:rFonts w:ascii="宋体" w:hAnsi="宋体" w:cs="宋体"/>
          <w:b/>
          <w:spacing w:val="6"/>
          <w:sz w:val="21"/>
          <w:szCs w:val="21"/>
        </w:rPr>
      </w:pPr>
      <w:r>
        <w:rPr>
          <w:rFonts w:ascii="宋体" w:hAnsi="宋体" w:cs="宋体"/>
          <w:b/>
          <w:spacing w:val="6"/>
          <w:sz w:val="21"/>
          <w:szCs w:val="21"/>
        </w:rPr>
        <w:br w:type="page"/>
      </w:r>
    </w:p>
    <w:p w14:paraId="16D4759B">
      <w:pPr>
        <w:widowControl/>
        <w:jc w:val="left"/>
        <w:rPr>
          <w:rFonts w:ascii="宋体" w:hAnsi="宋体" w:cs="宋体"/>
          <w:b/>
          <w:spacing w:val="6"/>
          <w:sz w:val="21"/>
          <w:szCs w:val="21"/>
        </w:rPr>
      </w:pPr>
    </w:p>
    <w:p w14:paraId="241F57B8">
      <w:pPr>
        <w:keepNext/>
        <w:keepLines/>
        <w:spacing w:line="360" w:lineRule="auto"/>
        <w:jc w:val="left"/>
        <w:rPr>
          <w:rFonts w:ascii="宋体" w:hAnsi="宋体" w:cs="宋体"/>
          <w:b/>
          <w:spacing w:val="6"/>
          <w:sz w:val="21"/>
          <w:szCs w:val="21"/>
        </w:rPr>
      </w:pPr>
      <w:r>
        <w:rPr>
          <w:rFonts w:hint="eastAsia" w:ascii="宋体" w:hAnsi="宋体" w:cs="宋体"/>
          <w:b/>
          <w:spacing w:val="6"/>
          <w:sz w:val="21"/>
          <w:szCs w:val="21"/>
        </w:rPr>
        <w:t>附件2：</w:t>
      </w:r>
    </w:p>
    <w:p w14:paraId="1405155C">
      <w:pPr>
        <w:spacing w:line="360" w:lineRule="auto"/>
        <w:jc w:val="center"/>
        <w:rPr>
          <w:rFonts w:ascii="宋体" w:hAnsi="宋体" w:cs="宋体"/>
          <w:b/>
          <w:bCs/>
          <w:sz w:val="21"/>
          <w:szCs w:val="21"/>
        </w:rPr>
      </w:pPr>
      <w:r>
        <w:rPr>
          <w:rFonts w:hint="eastAsia" w:ascii="宋体" w:hAnsi="宋体" w:cs="宋体"/>
          <w:b/>
          <w:bCs/>
          <w:sz w:val="21"/>
          <w:szCs w:val="21"/>
        </w:rPr>
        <w:t>残疾人福利性单位声明函（如为残疾人福利性单位）</w:t>
      </w:r>
    </w:p>
    <w:p w14:paraId="319D2B12">
      <w:pPr>
        <w:spacing w:line="360" w:lineRule="auto"/>
        <w:jc w:val="center"/>
        <w:rPr>
          <w:rFonts w:ascii="仿宋_GB2312" w:eastAsia="仿宋_GB2312"/>
          <w:b/>
          <w:spacing w:val="6"/>
          <w:sz w:val="21"/>
          <w:szCs w:val="21"/>
        </w:rPr>
      </w:pPr>
      <w:r>
        <w:rPr>
          <w:rFonts w:hint="eastAsia" w:ascii="宋体" w:hAnsi="宋体" w:cs="宋体"/>
          <w:b/>
          <w:sz w:val="21"/>
          <w:szCs w:val="21"/>
        </w:rPr>
        <w:t>（注：若投标单位不属于残疾人福利性单位的，投标文件中可不附此项内容）</w:t>
      </w:r>
    </w:p>
    <w:p w14:paraId="067755DD">
      <w:pPr>
        <w:spacing w:line="360" w:lineRule="auto"/>
        <w:jc w:val="center"/>
        <w:rPr>
          <w:rFonts w:ascii="宋体" w:hAnsi="宋体" w:cs="宋体"/>
          <w:sz w:val="21"/>
          <w:szCs w:val="21"/>
        </w:rPr>
      </w:pPr>
      <w:r>
        <w:rPr>
          <w:rFonts w:hint="eastAsia" w:ascii="宋体" w:hAnsi="宋体" w:cs="宋体"/>
          <w:sz w:val="21"/>
          <w:szCs w:val="21"/>
        </w:rPr>
        <w:t xml:space="preserve">    </w:t>
      </w:r>
    </w:p>
    <w:p w14:paraId="357937A2">
      <w:pPr>
        <w:spacing w:line="360" w:lineRule="auto"/>
        <w:ind w:firstLine="420" w:firstLineChars="200"/>
        <w:rPr>
          <w:rFonts w:ascii="宋体" w:hAnsi="宋体" w:cs="宋体"/>
          <w:sz w:val="21"/>
          <w:szCs w:val="21"/>
        </w:rPr>
      </w:pPr>
      <w:r>
        <w:rPr>
          <w:rFonts w:hint="eastAsia" w:ascii="宋体" w:hAnsi="宋体" w:cs="宋体"/>
          <w:sz w:val="21"/>
          <w:szCs w:val="21"/>
        </w:rPr>
        <w:t>本单位郑重声明，根据《财政部民政部中国残疾人联合会关于促进残疾人就业政府采购政策的通知》（财库（2017〔141〕号）的规定，本单位为符合该文件之规定条件的残疾人福利性单位，参加本次政府采购活动提供本单位制造的货物，或者提供（其他残疾人福利性单位名称）制造的货物（不包括使用非残疾人福利性单位注册商标的货物）。货物的名称品牌型号是</w:t>
      </w:r>
      <w:r>
        <w:rPr>
          <w:rFonts w:hint="eastAsia" w:ascii="宋体" w:hAnsi="宋体" w:cs="宋体"/>
          <w:sz w:val="21"/>
          <w:szCs w:val="21"/>
          <w:u w:val="single"/>
        </w:rPr>
        <w:t xml:space="preserve">           </w:t>
      </w:r>
      <w:r>
        <w:rPr>
          <w:rFonts w:hint="eastAsia" w:ascii="宋体" w:hAnsi="宋体" w:cs="宋体"/>
          <w:sz w:val="21"/>
          <w:szCs w:val="21"/>
        </w:rPr>
        <w:t>。</w:t>
      </w:r>
    </w:p>
    <w:p w14:paraId="1563EBF2">
      <w:pPr>
        <w:spacing w:line="360" w:lineRule="auto"/>
        <w:ind w:firstLine="420" w:firstLineChars="200"/>
        <w:rPr>
          <w:rFonts w:ascii="宋体" w:hAnsi="宋体" w:cs="宋体"/>
          <w:sz w:val="21"/>
          <w:szCs w:val="21"/>
        </w:rPr>
      </w:pPr>
      <w:r>
        <w:rPr>
          <w:rFonts w:hint="eastAsia" w:ascii="宋体" w:hAnsi="宋体" w:cs="宋体"/>
          <w:sz w:val="21"/>
          <w:szCs w:val="21"/>
        </w:rPr>
        <w:t>本单位对上述声明的真实性负责。如有虚假，将承担相应的法律责任。</w:t>
      </w:r>
    </w:p>
    <w:p w14:paraId="0F7BB0A6">
      <w:pPr>
        <w:pStyle w:val="8"/>
        <w:spacing w:line="360" w:lineRule="auto"/>
        <w:rPr>
          <w:rFonts w:ascii="宋体" w:hAnsi="宋体" w:cs="宋体"/>
          <w:sz w:val="21"/>
          <w:szCs w:val="21"/>
        </w:rPr>
      </w:pPr>
    </w:p>
    <w:p w14:paraId="76E66BE5">
      <w:pPr>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eastAsia="zh-CN"/>
        </w:rPr>
        <w:t>供应商</w:t>
      </w:r>
      <w:r>
        <w:rPr>
          <w:rFonts w:hint="eastAsia" w:ascii="宋体" w:hAnsi="宋体" w:cs="宋体"/>
          <w:kern w:val="0"/>
          <w:sz w:val="21"/>
          <w:szCs w:val="21"/>
          <w:lang w:val="zh-CN"/>
        </w:rPr>
        <w:t>：</w:t>
      </w:r>
      <w:r>
        <w:rPr>
          <w:rFonts w:hint="eastAsia" w:ascii="宋体" w:hAnsi="宋体" w:cs="宋体"/>
          <w:kern w:val="0"/>
          <w:sz w:val="21"/>
          <w:szCs w:val="21"/>
          <w:u w:val="single"/>
          <w:lang w:val="zh-CN"/>
        </w:rPr>
        <w:t xml:space="preserve">           </w:t>
      </w:r>
      <w:r>
        <w:rPr>
          <w:rFonts w:hint="eastAsia" w:ascii="宋体" w:hAnsi="宋体" w:cs="宋体"/>
          <w:kern w:val="0"/>
          <w:sz w:val="21"/>
          <w:szCs w:val="21"/>
          <w:u w:val="single"/>
        </w:rPr>
        <w:t xml:space="preserve">           </w:t>
      </w:r>
      <w:r>
        <w:rPr>
          <w:rFonts w:hint="eastAsia" w:ascii="宋体" w:hAnsi="宋体" w:cs="宋体"/>
          <w:kern w:val="0"/>
          <w:sz w:val="21"/>
          <w:szCs w:val="21"/>
          <w:u w:val="single"/>
          <w:lang w:val="zh-CN"/>
        </w:rPr>
        <w:t xml:space="preserve">  </w:t>
      </w:r>
      <w:r>
        <w:rPr>
          <w:rFonts w:hint="eastAsia" w:ascii="宋体" w:hAnsi="宋体" w:cs="宋体"/>
          <w:kern w:val="0"/>
          <w:sz w:val="21"/>
          <w:szCs w:val="21"/>
          <w:lang w:val="zh-CN"/>
        </w:rPr>
        <w:t>（全称并加盖公章）</w:t>
      </w:r>
    </w:p>
    <w:p w14:paraId="0B91CD26">
      <w:pPr>
        <w:pStyle w:val="8"/>
        <w:spacing w:line="360" w:lineRule="auto"/>
        <w:ind w:firstLine="0"/>
        <w:rPr>
          <w:rFonts w:ascii="宋体" w:hAnsi="宋体" w:cs="宋体"/>
          <w:sz w:val="21"/>
          <w:szCs w:val="21"/>
        </w:rPr>
      </w:pPr>
      <w:r>
        <w:rPr>
          <w:rFonts w:hint="eastAsia" w:ascii="宋体" w:hAnsi="宋体" w:cs="宋体"/>
          <w:sz w:val="21"/>
          <w:szCs w:val="21"/>
        </w:rPr>
        <w:t>日期：</w:t>
      </w:r>
    </w:p>
    <w:p w14:paraId="2230B336">
      <w:pPr>
        <w:pStyle w:val="8"/>
        <w:spacing w:line="360" w:lineRule="auto"/>
        <w:rPr>
          <w:rFonts w:ascii="宋体" w:hAnsi="宋体" w:cs="宋体"/>
          <w:sz w:val="21"/>
          <w:szCs w:val="21"/>
        </w:rPr>
      </w:pPr>
    </w:p>
    <w:p w14:paraId="08AAA393">
      <w:pPr>
        <w:spacing w:line="588" w:lineRule="exact"/>
        <w:jc w:val="center"/>
        <w:rPr>
          <w:rFonts w:ascii="宋体" w:hAnsi="宋体" w:cs="宋体"/>
          <w:b/>
          <w:bCs/>
          <w:spacing w:val="6"/>
          <w:sz w:val="32"/>
          <w:szCs w:val="32"/>
        </w:rPr>
      </w:pPr>
    </w:p>
    <w:p w14:paraId="0090C735">
      <w:pPr>
        <w:rPr>
          <w:rFonts w:ascii="宋体" w:hAnsi="宋体" w:cs="宋体"/>
        </w:rPr>
      </w:pPr>
    </w:p>
    <w:p w14:paraId="56DA1FDB">
      <w:pPr>
        <w:rPr>
          <w:rFonts w:ascii="宋体" w:hAnsi="宋体" w:cs="宋体"/>
        </w:rPr>
      </w:pPr>
    </w:p>
    <w:p w14:paraId="6905A755">
      <w:pPr>
        <w:rPr>
          <w:rFonts w:ascii="宋体" w:hAnsi="宋体" w:cs="宋体"/>
        </w:rPr>
      </w:pPr>
    </w:p>
    <w:p w14:paraId="2F0042E5">
      <w:pPr>
        <w:rPr>
          <w:rFonts w:ascii="宋体" w:hAnsi="宋体" w:cs="宋体"/>
        </w:rPr>
      </w:pPr>
    </w:p>
    <w:p w14:paraId="4F7E8ACD">
      <w:pPr>
        <w:rPr>
          <w:rFonts w:ascii="宋体" w:hAnsi="宋体" w:cs="宋体"/>
        </w:rPr>
      </w:pPr>
    </w:p>
    <w:p w14:paraId="66752F7D">
      <w:pPr>
        <w:rPr>
          <w:rFonts w:ascii="宋体" w:hAnsi="宋体" w:cs="宋体"/>
        </w:rPr>
      </w:pPr>
    </w:p>
    <w:p w14:paraId="764C3982">
      <w:pPr>
        <w:rPr>
          <w:rFonts w:ascii="宋体" w:hAnsi="宋体" w:cs="宋体"/>
        </w:rPr>
      </w:pPr>
    </w:p>
    <w:p w14:paraId="512199C4">
      <w:pPr>
        <w:rPr>
          <w:rFonts w:ascii="宋体" w:hAnsi="宋体" w:cs="宋体"/>
        </w:rPr>
      </w:pPr>
    </w:p>
    <w:p w14:paraId="3520B11D">
      <w:pPr>
        <w:rPr>
          <w:rFonts w:ascii="宋体" w:hAnsi="宋体" w:cs="宋体"/>
        </w:rPr>
      </w:pPr>
    </w:p>
    <w:p w14:paraId="59DAF394">
      <w:pPr>
        <w:rPr>
          <w:rFonts w:ascii="宋体" w:hAnsi="宋体" w:cs="宋体"/>
        </w:rPr>
      </w:pPr>
    </w:p>
    <w:p w14:paraId="0D856D5E">
      <w:pPr>
        <w:rPr>
          <w:rFonts w:ascii="宋体" w:hAnsi="宋体" w:cs="宋体"/>
        </w:rPr>
      </w:pPr>
    </w:p>
    <w:p w14:paraId="48BB8799">
      <w:pPr>
        <w:rPr>
          <w:rFonts w:ascii="宋体" w:hAnsi="宋体" w:cs="宋体"/>
        </w:rPr>
      </w:pPr>
    </w:p>
    <w:p w14:paraId="7F51CAE0">
      <w:pPr>
        <w:rPr>
          <w:rFonts w:ascii="宋体" w:hAnsi="宋体" w:cs="宋体"/>
        </w:rPr>
      </w:pPr>
    </w:p>
    <w:p w14:paraId="7033594E">
      <w:pPr>
        <w:rPr>
          <w:rFonts w:ascii="宋体" w:hAnsi="宋体"/>
        </w:rPr>
      </w:pPr>
      <w:bookmarkStart w:id="1105" w:name="_Toc12504"/>
      <w:bookmarkStart w:id="1106" w:name="_Toc12758_WPSOffice_Level2"/>
      <w:bookmarkStart w:id="1107" w:name="_Toc17815"/>
      <w:bookmarkStart w:id="1108" w:name="_Toc26011_WPSOffice_Level2"/>
      <w:bookmarkStart w:id="1109" w:name="_Toc30073_WPSOffice_Level2"/>
      <w:bookmarkStart w:id="1110" w:name="_Toc3047"/>
    </w:p>
    <w:p w14:paraId="17406511">
      <w:pPr>
        <w:pStyle w:val="91"/>
        <w:ind w:firstLine="480"/>
        <w:rPr>
          <w:rFonts w:ascii="宋体" w:hAnsi="宋体"/>
        </w:rPr>
      </w:pPr>
    </w:p>
    <w:p w14:paraId="2DC470EC">
      <w:pPr>
        <w:pStyle w:val="91"/>
        <w:ind w:firstLine="480"/>
        <w:rPr>
          <w:rFonts w:ascii="宋体" w:hAnsi="宋体"/>
        </w:rPr>
      </w:pPr>
    </w:p>
    <w:p w14:paraId="38E10EF5">
      <w:pPr>
        <w:pStyle w:val="91"/>
        <w:ind w:firstLine="480"/>
        <w:rPr>
          <w:rFonts w:ascii="宋体" w:hAnsi="宋体"/>
        </w:rPr>
      </w:pPr>
    </w:p>
    <w:p w14:paraId="1BC8D5F6">
      <w:pPr>
        <w:pStyle w:val="91"/>
        <w:ind w:firstLine="480"/>
        <w:rPr>
          <w:rFonts w:ascii="宋体" w:hAnsi="宋体"/>
        </w:rPr>
      </w:pPr>
    </w:p>
    <w:p w14:paraId="2242F214">
      <w:pPr>
        <w:jc w:val="left"/>
        <w:rPr>
          <w:rFonts w:ascii="宋体" w:hAnsi="宋体" w:cs="宋体"/>
          <w:b/>
          <w:spacing w:val="6"/>
          <w:sz w:val="21"/>
          <w:szCs w:val="21"/>
        </w:rPr>
      </w:pPr>
      <w:r>
        <w:rPr>
          <w:rFonts w:hint="eastAsia" w:ascii="宋体" w:hAnsi="宋体" w:cs="宋体"/>
          <w:b/>
          <w:bCs/>
          <w:spacing w:val="6"/>
          <w:sz w:val="32"/>
          <w:szCs w:val="32"/>
        </w:rPr>
        <w:br w:type="page"/>
      </w:r>
      <w:bookmarkEnd w:id="1105"/>
      <w:bookmarkEnd w:id="1106"/>
      <w:bookmarkEnd w:id="1107"/>
      <w:bookmarkEnd w:id="1108"/>
      <w:bookmarkEnd w:id="1109"/>
      <w:bookmarkEnd w:id="1110"/>
      <w:r>
        <w:rPr>
          <w:rFonts w:hint="eastAsia" w:ascii="宋体" w:hAnsi="宋体" w:cs="宋体"/>
          <w:b/>
          <w:spacing w:val="6"/>
          <w:sz w:val="21"/>
          <w:szCs w:val="21"/>
        </w:rPr>
        <w:t>附件3：</w:t>
      </w:r>
    </w:p>
    <w:p w14:paraId="78B38C01">
      <w:pPr>
        <w:jc w:val="center"/>
        <w:rPr>
          <w:b/>
          <w:sz w:val="32"/>
        </w:rPr>
      </w:pPr>
    </w:p>
    <w:p w14:paraId="7F6F2CF9">
      <w:pPr>
        <w:spacing w:line="360" w:lineRule="auto"/>
        <w:jc w:val="center"/>
        <w:rPr>
          <w:rFonts w:ascii="宋体" w:hAnsi="宋体" w:cs="宋体"/>
          <w:b/>
          <w:bCs/>
          <w:sz w:val="21"/>
          <w:szCs w:val="21"/>
        </w:rPr>
      </w:pPr>
      <w:r>
        <w:rPr>
          <w:rFonts w:hint="eastAsia" w:ascii="宋体" w:hAnsi="宋体" w:cs="宋体"/>
          <w:b/>
          <w:bCs/>
          <w:sz w:val="21"/>
          <w:szCs w:val="21"/>
        </w:rPr>
        <w:t>中小企业声明函（货物）</w:t>
      </w:r>
    </w:p>
    <w:p w14:paraId="065E5BE7">
      <w:pPr>
        <w:widowControl/>
        <w:adjustRightInd w:val="0"/>
        <w:snapToGrid w:val="0"/>
        <w:spacing w:before="120" w:beforeLines="50" w:line="360" w:lineRule="auto"/>
        <w:jc w:val="center"/>
        <w:rPr>
          <w:rFonts w:ascii="宋体" w:hAnsi="宋体" w:cs="宋体"/>
        </w:rPr>
      </w:pPr>
      <w:r>
        <w:rPr>
          <w:rFonts w:hint="eastAsia" w:ascii="宋体" w:hAnsi="宋体" w:cs="宋体"/>
          <w:b/>
          <w:szCs w:val="21"/>
        </w:rPr>
        <w:t>（注：若投标单位不属于中小企业的，投标文件中可不附此项内容）</w:t>
      </w:r>
    </w:p>
    <w:p w14:paraId="5BF911D7">
      <w:pPr>
        <w:pStyle w:val="12"/>
      </w:pPr>
    </w:p>
    <w:p w14:paraId="796FE91A">
      <w:pPr>
        <w:spacing w:line="360" w:lineRule="auto"/>
        <w:ind w:firstLine="420" w:firstLineChars="200"/>
        <w:rPr>
          <w:rFonts w:ascii="宋体" w:hAnsi="宋体"/>
          <w:sz w:val="21"/>
          <w:szCs w:val="21"/>
        </w:rPr>
      </w:pPr>
      <w:r>
        <w:rPr>
          <w:rFonts w:hint="eastAsia" w:ascii="宋体" w:hAnsi="宋体"/>
          <w:sz w:val="21"/>
          <w:szCs w:val="21"/>
        </w:rPr>
        <w:t>本公司（联合体）郑重声明，根据《政府采购促进中小企业发展管理办法》（财库﹝2020﹞46号）的规定，本公司（联合体）参加</w:t>
      </w:r>
      <w:r>
        <w:rPr>
          <w:rFonts w:hint="eastAsia" w:ascii="宋体" w:hAnsi="宋体"/>
          <w:sz w:val="21"/>
          <w:szCs w:val="21"/>
          <w:u w:val="single"/>
        </w:rPr>
        <w:t>（单位名称）</w:t>
      </w:r>
      <w:r>
        <w:rPr>
          <w:rFonts w:hint="eastAsia" w:ascii="宋体" w:hAnsi="宋体"/>
          <w:sz w:val="21"/>
          <w:szCs w:val="21"/>
        </w:rPr>
        <w:t>的</w:t>
      </w:r>
      <w:r>
        <w:rPr>
          <w:rFonts w:hint="eastAsia" w:ascii="宋体" w:hAnsi="宋体"/>
          <w:sz w:val="21"/>
          <w:szCs w:val="21"/>
          <w:u w:val="single"/>
        </w:rPr>
        <w:t>（项目名称）</w:t>
      </w:r>
      <w:r>
        <w:rPr>
          <w:rFonts w:hint="eastAsia" w:ascii="宋体" w:hAnsi="宋体"/>
          <w:sz w:val="21"/>
          <w:szCs w:val="21"/>
        </w:rPr>
        <w:t>采购活动，提供的货物全部由符合政策要求的中小企业制造。相关企业（含联合体中的中小企业、签订分包意向协议的中小企业）的具体情况如下：</w:t>
      </w:r>
    </w:p>
    <w:p w14:paraId="188A645F">
      <w:pPr>
        <w:spacing w:line="360" w:lineRule="auto"/>
        <w:ind w:firstLine="420" w:firstLineChars="200"/>
        <w:rPr>
          <w:rFonts w:ascii="宋体" w:hAnsi="宋体"/>
          <w:sz w:val="21"/>
          <w:szCs w:val="21"/>
        </w:rPr>
      </w:pPr>
      <w:r>
        <w:rPr>
          <w:rFonts w:hint="eastAsia" w:ascii="宋体" w:hAnsi="宋体"/>
          <w:sz w:val="21"/>
          <w:szCs w:val="21"/>
        </w:rPr>
        <w:t>1.</w:t>
      </w:r>
      <w:r>
        <w:rPr>
          <w:rFonts w:hint="eastAsia" w:ascii="宋体" w:hAnsi="宋体"/>
          <w:sz w:val="21"/>
          <w:szCs w:val="21"/>
          <w:u w:val="single"/>
        </w:rPr>
        <w:t xml:space="preserve">（标的名称） </w:t>
      </w:r>
      <w:r>
        <w:rPr>
          <w:rFonts w:hint="eastAsia" w:ascii="宋体" w:hAnsi="宋体"/>
          <w:sz w:val="21"/>
          <w:szCs w:val="21"/>
        </w:rPr>
        <w:t>，属于</w:t>
      </w:r>
      <w:r>
        <w:rPr>
          <w:rFonts w:hint="eastAsia" w:ascii="宋体" w:hAnsi="宋体"/>
          <w:sz w:val="21"/>
          <w:szCs w:val="21"/>
          <w:u w:val="single"/>
        </w:rPr>
        <w:t>（采购文件中明确的所属行业）</w:t>
      </w:r>
      <w:r>
        <w:rPr>
          <w:rFonts w:hint="eastAsia" w:ascii="宋体" w:hAnsi="宋体"/>
          <w:sz w:val="21"/>
          <w:szCs w:val="21"/>
        </w:rPr>
        <w:t>行业 ；制造商为</w:t>
      </w:r>
      <w:r>
        <w:rPr>
          <w:rFonts w:hint="eastAsia" w:ascii="宋体" w:hAnsi="宋体"/>
          <w:sz w:val="21"/>
          <w:szCs w:val="21"/>
          <w:u w:val="single"/>
        </w:rPr>
        <w:t>（企业名称）</w:t>
      </w:r>
      <w:r>
        <w:rPr>
          <w:rFonts w:hint="eastAsia" w:ascii="宋体" w:hAnsi="宋体"/>
          <w:sz w:val="21"/>
          <w:szCs w:val="21"/>
        </w:rPr>
        <w:t>，从业人员</w:t>
      </w:r>
      <w:r>
        <w:rPr>
          <w:rFonts w:hint="eastAsia" w:ascii="宋体" w:hAnsi="宋体"/>
          <w:sz w:val="21"/>
          <w:szCs w:val="21"/>
          <w:u w:val="single"/>
        </w:rPr>
        <w:t xml:space="preserve">      </w:t>
      </w:r>
      <w:r>
        <w:rPr>
          <w:rFonts w:hint="eastAsia" w:ascii="宋体" w:hAnsi="宋体"/>
          <w:sz w:val="21"/>
          <w:szCs w:val="21"/>
        </w:rPr>
        <w:t>人，营业收入为</w:t>
      </w:r>
      <w:r>
        <w:rPr>
          <w:rFonts w:hint="eastAsia" w:ascii="宋体" w:hAnsi="宋体"/>
          <w:sz w:val="21"/>
          <w:szCs w:val="21"/>
          <w:u w:val="single"/>
        </w:rPr>
        <w:t xml:space="preserve">      </w:t>
      </w:r>
      <w:r>
        <w:rPr>
          <w:rFonts w:hint="eastAsia" w:ascii="宋体" w:hAnsi="宋体"/>
          <w:sz w:val="21"/>
          <w:szCs w:val="21"/>
        </w:rPr>
        <w:t>万元，资产总额为</w:t>
      </w:r>
      <w:r>
        <w:rPr>
          <w:rFonts w:hint="eastAsia" w:ascii="宋体" w:hAnsi="宋体"/>
          <w:sz w:val="21"/>
          <w:szCs w:val="21"/>
          <w:u w:val="single"/>
        </w:rPr>
        <w:t xml:space="preserve">      </w:t>
      </w:r>
      <w:r>
        <w:rPr>
          <w:rFonts w:hint="eastAsia" w:ascii="宋体" w:hAnsi="宋体"/>
          <w:sz w:val="21"/>
          <w:szCs w:val="21"/>
        </w:rPr>
        <w:t>万元，属于</w:t>
      </w:r>
      <w:r>
        <w:rPr>
          <w:rFonts w:hint="eastAsia" w:ascii="宋体" w:hAnsi="宋体"/>
          <w:sz w:val="21"/>
          <w:szCs w:val="21"/>
          <w:u w:val="single"/>
        </w:rPr>
        <w:t>（中型企业、小型企业、微型企业）</w:t>
      </w:r>
      <w:r>
        <w:rPr>
          <w:rFonts w:hint="eastAsia" w:ascii="宋体" w:hAnsi="宋体"/>
          <w:sz w:val="21"/>
          <w:szCs w:val="21"/>
        </w:rPr>
        <w:t xml:space="preserve"> ；</w:t>
      </w:r>
    </w:p>
    <w:p w14:paraId="53EA859B">
      <w:pPr>
        <w:spacing w:line="360" w:lineRule="auto"/>
        <w:ind w:firstLine="420" w:firstLineChars="200"/>
        <w:rPr>
          <w:rFonts w:ascii="宋体" w:hAnsi="宋体"/>
          <w:sz w:val="21"/>
          <w:szCs w:val="21"/>
        </w:rPr>
      </w:pPr>
      <w:r>
        <w:rPr>
          <w:rFonts w:hint="eastAsia" w:ascii="宋体" w:hAnsi="宋体"/>
          <w:sz w:val="21"/>
          <w:szCs w:val="21"/>
        </w:rPr>
        <w:t>2.</w:t>
      </w:r>
      <w:r>
        <w:rPr>
          <w:rFonts w:hint="eastAsia" w:ascii="宋体" w:hAnsi="宋体"/>
          <w:sz w:val="21"/>
          <w:szCs w:val="21"/>
          <w:u w:val="single"/>
        </w:rPr>
        <w:t xml:space="preserve">（标的名称） </w:t>
      </w:r>
      <w:r>
        <w:rPr>
          <w:rFonts w:hint="eastAsia" w:ascii="宋体" w:hAnsi="宋体"/>
          <w:sz w:val="21"/>
          <w:szCs w:val="21"/>
        </w:rPr>
        <w:t>，属于</w:t>
      </w:r>
      <w:r>
        <w:rPr>
          <w:rFonts w:hint="eastAsia" w:ascii="宋体" w:hAnsi="宋体"/>
          <w:sz w:val="21"/>
          <w:szCs w:val="21"/>
          <w:u w:val="single"/>
        </w:rPr>
        <w:t xml:space="preserve"> （采购文件中明确的所属行业）</w:t>
      </w:r>
      <w:r>
        <w:rPr>
          <w:rFonts w:hint="eastAsia" w:ascii="宋体" w:hAnsi="宋体"/>
          <w:sz w:val="21"/>
          <w:szCs w:val="21"/>
        </w:rPr>
        <w:t>行业 ；制造商为</w:t>
      </w:r>
      <w:r>
        <w:rPr>
          <w:rFonts w:hint="eastAsia" w:ascii="宋体" w:hAnsi="宋体"/>
          <w:sz w:val="21"/>
          <w:szCs w:val="21"/>
          <w:u w:val="single"/>
        </w:rPr>
        <w:t xml:space="preserve"> （企业名称） </w:t>
      </w:r>
      <w:r>
        <w:rPr>
          <w:rFonts w:hint="eastAsia" w:ascii="宋体" w:hAnsi="宋体"/>
          <w:sz w:val="21"/>
          <w:szCs w:val="21"/>
        </w:rPr>
        <w:t>，从业人员</w:t>
      </w:r>
      <w:r>
        <w:rPr>
          <w:rFonts w:hint="eastAsia" w:ascii="宋体" w:hAnsi="宋体"/>
          <w:sz w:val="21"/>
          <w:szCs w:val="21"/>
          <w:u w:val="single"/>
        </w:rPr>
        <w:t xml:space="preserve">      </w:t>
      </w:r>
      <w:r>
        <w:rPr>
          <w:rFonts w:hint="eastAsia" w:ascii="宋体" w:hAnsi="宋体"/>
          <w:sz w:val="21"/>
          <w:szCs w:val="21"/>
        </w:rPr>
        <w:t>人，营业收入为</w:t>
      </w:r>
      <w:r>
        <w:rPr>
          <w:rFonts w:hint="eastAsia" w:ascii="宋体" w:hAnsi="宋体"/>
          <w:sz w:val="21"/>
          <w:szCs w:val="21"/>
          <w:u w:val="single"/>
        </w:rPr>
        <w:t xml:space="preserve">      </w:t>
      </w:r>
      <w:r>
        <w:rPr>
          <w:rFonts w:hint="eastAsia" w:ascii="宋体" w:hAnsi="宋体"/>
          <w:sz w:val="21"/>
          <w:szCs w:val="21"/>
        </w:rPr>
        <w:t>万元，资产总额为</w:t>
      </w:r>
      <w:r>
        <w:rPr>
          <w:rFonts w:hint="eastAsia" w:ascii="宋体" w:hAnsi="宋体"/>
          <w:sz w:val="21"/>
          <w:szCs w:val="21"/>
          <w:u w:val="single"/>
        </w:rPr>
        <w:t xml:space="preserve">      </w:t>
      </w:r>
      <w:r>
        <w:rPr>
          <w:rFonts w:hint="eastAsia" w:ascii="宋体" w:hAnsi="宋体"/>
          <w:sz w:val="21"/>
          <w:szCs w:val="21"/>
        </w:rPr>
        <w:t>万元，属于</w:t>
      </w:r>
      <w:r>
        <w:rPr>
          <w:rFonts w:hint="eastAsia" w:ascii="宋体" w:hAnsi="宋体"/>
          <w:sz w:val="21"/>
          <w:szCs w:val="21"/>
          <w:u w:val="single"/>
        </w:rPr>
        <w:t xml:space="preserve">（中型企业、小型企业、微型企业） </w:t>
      </w:r>
      <w:r>
        <w:rPr>
          <w:rFonts w:hint="eastAsia" w:ascii="宋体" w:hAnsi="宋体"/>
          <w:sz w:val="21"/>
          <w:szCs w:val="21"/>
        </w:rPr>
        <w:t>；</w:t>
      </w:r>
    </w:p>
    <w:p w14:paraId="6BB013AF">
      <w:pPr>
        <w:spacing w:line="360" w:lineRule="auto"/>
        <w:ind w:firstLine="420" w:firstLineChars="200"/>
        <w:rPr>
          <w:rFonts w:ascii="宋体" w:hAnsi="宋体"/>
          <w:sz w:val="21"/>
          <w:szCs w:val="21"/>
        </w:rPr>
      </w:pPr>
      <w:r>
        <w:rPr>
          <w:rFonts w:hint="eastAsia" w:ascii="宋体" w:hAnsi="宋体"/>
          <w:sz w:val="21"/>
          <w:szCs w:val="21"/>
        </w:rPr>
        <w:t>……</w:t>
      </w:r>
    </w:p>
    <w:p w14:paraId="4EA8C0A5">
      <w:pPr>
        <w:spacing w:line="360" w:lineRule="auto"/>
        <w:ind w:firstLine="420" w:firstLineChars="200"/>
        <w:rPr>
          <w:rFonts w:ascii="宋体" w:hAnsi="宋体"/>
          <w:sz w:val="21"/>
          <w:szCs w:val="21"/>
        </w:rPr>
      </w:pPr>
      <w:r>
        <w:rPr>
          <w:rFonts w:hint="eastAsia" w:ascii="宋体" w:hAnsi="宋体"/>
          <w:sz w:val="21"/>
          <w:szCs w:val="21"/>
        </w:rPr>
        <w:t>以上企业，不属于大企业的分支机构，不存在控股股东为大企业的情形，也不存在与大企业的负责人为同一人的情形。</w:t>
      </w:r>
    </w:p>
    <w:p w14:paraId="0A91D645">
      <w:pPr>
        <w:spacing w:line="360" w:lineRule="auto"/>
        <w:ind w:firstLine="420" w:firstLineChars="200"/>
        <w:rPr>
          <w:rFonts w:ascii="宋体" w:hAnsi="宋体"/>
          <w:sz w:val="21"/>
          <w:szCs w:val="21"/>
        </w:rPr>
      </w:pPr>
      <w:r>
        <w:rPr>
          <w:rFonts w:hint="eastAsia" w:ascii="宋体" w:hAnsi="宋体"/>
          <w:sz w:val="21"/>
          <w:szCs w:val="21"/>
        </w:rPr>
        <w:t>本企业对上述声明内容的真实性负责。如有虚假，将依法承担相应责任。</w:t>
      </w:r>
    </w:p>
    <w:p w14:paraId="5BEBB762">
      <w:pPr>
        <w:spacing w:line="360" w:lineRule="auto"/>
        <w:ind w:firstLine="420" w:firstLineChars="200"/>
        <w:rPr>
          <w:rFonts w:ascii="宋体" w:hAnsi="宋体"/>
          <w:sz w:val="21"/>
          <w:szCs w:val="21"/>
        </w:rPr>
      </w:pPr>
    </w:p>
    <w:p w14:paraId="492996BC">
      <w:pPr>
        <w:pStyle w:val="83"/>
        <w:spacing w:line="360" w:lineRule="auto"/>
        <w:ind w:firstLine="210"/>
        <w:rPr>
          <w:szCs w:val="21"/>
        </w:rPr>
      </w:pPr>
    </w:p>
    <w:p w14:paraId="21517B1C">
      <w:pPr>
        <w:pStyle w:val="83"/>
        <w:spacing w:line="360" w:lineRule="auto"/>
        <w:ind w:firstLine="210"/>
        <w:rPr>
          <w:szCs w:val="21"/>
        </w:rPr>
      </w:pPr>
    </w:p>
    <w:p w14:paraId="718C9A54">
      <w:pPr>
        <w:pStyle w:val="83"/>
        <w:spacing w:line="360" w:lineRule="auto"/>
        <w:ind w:firstLine="210"/>
        <w:rPr>
          <w:szCs w:val="21"/>
        </w:rPr>
      </w:pPr>
    </w:p>
    <w:p w14:paraId="1C6B0AE9">
      <w:pPr>
        <w:spacing w:line="360" w:lineRule="auto"/>
        <w:ind w:right="1120" w:firstLine="4410" w:firstLineChars="2100"/>
        <w:rPr>
          <w:rFonts w:ascii="宋体" w:hAnsi="宋体"/>
          <w:sz w:val="21"/>
          <w:szCs w:val="21"/>
        </w:rPr>
      </w:pPr>
      <w:r>
        <w:rPr>
          <w:rFonts w:hint="eastAsia" w:ascii="宋体" w:hAnsi="宋体"/>
          <w:sz w:val="21"/>
          <w:szCs w:val="21"/>
        </w:rPr>
        <w:t>企业名称（盖章）：</w:t>
      </w:r>
    </w:p>
    <w:p w14:paraId="29543608">
      <w:pPr>
        <w:spacing w:line="360" w:lineRule="auto"/>
        <w:ind w:right="1120" w:firstLine="4410" w:firstLineChars="2100"/>
        <w:rPr>
          <w:rFonts w:ascii="宋体" w:hAnsi="宋体"/>
          <w:sz w:val="21"/>
          <w:szCs w:val="21"/>
        </w:rPr>
      </w:pPr>
      <w:r>
        <w:rPr>
          <w:rFonts w:hint="eastAsia" w:ascii="宋体" w:hAnsi="宋体"/>
          <w:sz w:val="21"/>
          <w:szCs w:val="21"/>
        </w:rPr>
        <w:t>日          期：</w:t>
      </w:r>
    </w:p>
    <w:p w14:paraId="5BF75BB2">
      <w:pPr>
        <w:pStyle w:val="56"/>
        <w:spacing w:line="432" w:lineRule="auto"/>
        <w:rPr>
          <w:rFonts w:ascii="宋体" w:hAnsi="宋体" w:cs="宋体"/>
          <w:b/>
          <w:spacing w:val="6"/>
          <w:sz w:val="21"/>
          <w:szCs w:val="21"/>
        </w:rPr>
      </w:pPr>
      <w:r>
        <w:rPr>
          <w:rFonts w:ascii="宋体" w:hAnsi="宋体" w:cs="宋体"/>
          <w:b/>
          <w:spacing w:val="6"/>
          <w:sz w:val="21"/>
          <w:szCs w:val="21"/>
        </w:rPr>
        <w:br w:type="page"/>
      </w:r>
      <w:r>
        <w:rPr>
          <w:rFonts w:hint="eastAsia" w:ascii="宋体" w:hAnsi="宋体" w:cs="宋体"/>
          <w:b/>
          <w:spacing w:val="6"/>
          <w:sz w:val="21"/>
          <w:szCs w:val="21"/>
        </w:rPr>
        <w:t>附件4：</w:t>
      </w:r>
    </w:p>
    <w:p w14:paraId="1BFDB39D">
      <w:pPr>
        <w:pStyle w:val="56"/>
        <w:spacing w:line="360" w:lineRule="auto"/>
        <w:jc w:val="center"/>
        <w:rPr>
          <w:rFonts w:ascii="宋体" w:hAnsi="宋体" w:cs="宋体"/>
          <w:b/>
          <w:sz w:val="32"/>
          <w:szCs w:val="21"/>
        </w:rPr>
      </w:pPr>
      <w:r>
        <w:rPr>
          <w:rFonts w:hint="eastAsia" w:ascii="宋体" w:hAnsi="宋体" w:cs="宋体"/>
          <w:b/>
          <w:sz w:val="32"/>
          <w:szCs w:val="21"/>
        </w:rPr>
        <w:t>河南省政府采购合同融资政策告知函</w:t>
      </w:r>
    </w:p>
    <w:p w14:paraId="42BF8F71">
      <w:pPr>
        <w:pStyle w:val="56"/>
        <w:spacing w:line="480" w:lineRule="auto"/>
        <w:rPr>
          <w:rFonts w:ascii="宋体" w:hAnsi="宋体" w:cs="宋体"/>
          <w:b/>
          <w:sz w:val="21"/>
          <w:szCs w:val="21"/>
        </w:rPr>
      </w:pPr>
      <w:r>
        <w:rPr>
          <w:rFonts w:hint="eastAsia" w:ascii="宋体" w:hAnsi="宋体" w:cs="宋体"/>
          <w:b/>
          <w:sz w:val="21"/>
          <w:szCs w:val="21"/>
        </w:rPr>
        <w:t>各供应商：</w:t>
      </w:r>
    </w:p>
    <w:p w14:paraId="767F1891">
      <w:pPr>
        <w:pStyle w:val="56"/>
        <w:spacing w:line="480" w:lineRule="auto"/>
        <w:ind w:firstLine="420" w:firstLineChars="200"/>
        <w:rPr>
          <w:rFonts w:ascii="宋体" w:hAnsi="宋体" w:cs="宋体"/>
          <w:sz w:val="21"/>
          <w:szCs w:val="21"/>
        </w:rPr>
      </w:pPr>
      <w:r>
        <w:rPr>
          <w:rFonts w:hint="eastAsia" w:ascii="宋体" w:hAnsi="宋体" w:cs="宋体"/>
          <w:sz w:val="21"/>
          <w:szCs w:val="21"/>
        </w:rPr>
        <w:t>欢迎贵公司参与河南省政府采购活动！</w:t>
      </w:r>
    </w:p>
    <w:p w14:paraId="616921A3">
      <w:pPr>
        <w:pStyle w:val="56"/>
        <w:spacing w:line="480" w:lineRule="auto"/>
        <w:ind w:firstLine="420" w:firstLineChars="200"/>
        <w:rPr>
          <w:rFonts w:ascii="宋体" w:hAnsi="宋体" w:cs="宋体"/>
          <w:sz w:val="21"/>
          <w:szCs w:val="21"/>
        </w:rPr>
      </w:pPr>
      <w:r>
        <w:rPr>
          <w:rFonts w:hint="eastAsia" w:ascii="宋体" w:hAnsi="宋体" w:cs="宋体"/>
          <w:sz w:val="21"/>
          <w:szCs w:val="21"/>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1FD8D432">
      <w:pPr>
        <w:pStyle w:val="56"/>
        <w:spacing w:line="480" w:lineRule="auto"/>
        <w:ind w:firstLine="420" w:firstLineChars="200"/>
        <w:rPr>
          <w:rFonts w:ascii="宋体" w:hAnsi="宋体" w:cs="宋体"/>
          <w:sz w:val="21"/>
          <w:szCs w:val="21"/>
        </w:rPr>
      </w:pPr>
      <w:r>
        <w:rPr>
          <w:rFonts w:hint="eastAsia" w:ascii="宋体" w:hAnsi="宋体" w:cs="宋体"/>
          <w:sz w:val="21"/>
          <w:szCs w:val="21"/>
        </w:rPr>
        <w:t>贷款渠道和提供贷款的金融机构，可在河南省政府采购网“河南省政府采购合同融资平台”查询联系。</w:t>
      </w:r>
    </w:p>
    <w:p w14:paraId="4257CDE5">
      <w:pPr>
        <w:pStyle w:val="56"/>
        <w:spacing w:line="440" w:lineRule="exact"/>
        <w:rPr>
          <w:rFonts w:ascii="宋体" w:hAnsi="宋体" w:cs="宋体"/>
          <w:sz w:val="21"/>
          <w:szCs w:val="21"/>
        </w:rPr>
      </w:pPr>
    </w:p>
    <w:p w14:paraId="60FCAFA0">
      <w:pPr>
        <w:rPr>
          <w:rFonts w:ascii="宋体" w:hAnsi="宋体" w:cs="宋体"/>
          <w:b/>
          <w:spacing w:val="6"/>
          <w:kern w:val="0"/>
          <w:sz w:val="21"/>
          <w:szCs w:val="21"/>
        </w:rPr>
      </w:pPr>
      <w:r>
        <w:rPr>
          <w:rFonts w:hint="eastAsia" w:ascii="宋体" w:hAnsi="宋体" w:cs="宋体"/>
          <w:b/>
          <w:spacing w:val="6"/>
          <w:kern w:val="0"/>
          <w:sz w:val="21"/>
          <w:szCs w:val="21"/>
        </w:rPr>
        <w:br w:type="page"/>
      </w:r>
    </w:p>
    <w:p w14:paraId="574EB08F">
      <w:pPr>
        <w:pStyle w:val="12"/>
        <w:spacing w:line="360" w:lineRule="auto"/>
        <w:ind w:firstLine="0"/>
        <w:rPr>
          <w:rFonts w:ascii="宋体" w:hAnsi="宋体" w:eastAsia="宋体" w:cs="宋体"/>
          <w:b/>
          <w:spacing w:val="6"/>
          <w:sz w:val="21"/>
          <w:szCs w:val="21"/>
        </w:rPr>
      </w:pPr>
      <w:r>
        <w:rPr>
          <w:rFonts w:hint="eastAsia" w:ascii="宋体" w:hAnsi="宋体" w:eastAsia="宋体" w:cs="宋体"/>
          <w:b/>
          <w:spacing w:val="6"/>
          <w:sz w:val="21"/>
          <w:szCs w:val="21"/>
        </w:rPr>
        <w:t>附件5：</w:t>
      </w:r>
    </w:p>
    <w:p w14:paraId="5052B14F">
      <w:pPr>
        <w:pStyle w:val="56"/>
        <w:spacing w:line="360" w:lineRule="auto"/>
        <w:ind w:firstLine="420" w:firstLineChars="200"/>
        <w:jc w:val="center"/>
        <w:rPr>
          <w:rFonts w:ascii="宋体" w:hAnsi="宋体" w:cs="宋体"/>
          <w:sz w:val="21"/>
          <w:szCs w:val="21"/>
        </w:rPr>
      </w:pPr>
      <w:bookmarkStart w:id="1111" w:name="_Toc27946"/>
      <w:r>
        <w:rPr>
          <w:rFonts w:hint="eastAsia" w:ascii="宋体" w:hAnsi="宋体" w:cs="宋体"/>
          <w:sz w:val="21"/>
          <w:szCs w:val="21"/>
        </w:rPr>
        <w:t>工信部联企业〔</w:t>
      </w:r>
      <w:bookmarkEnd w:id="1111"/>
      <w:r>
        <w:rPr>
          <w:rFonts w:hint="eastAsia" w:ascii="宋体" w:hAnsi="宋体" w:cs="宋体"/>
          <w:sz w:val="21"/>
          <w:szCs w:val="21"/>
        </w:rPr>
        <w:t>2011〕300号</w:t>
      </w:r>
    </w:p>
    <w:p w14:paraId="2AFC748B">
      <w:pPr>
        <w:pStyle w:val="56"/>
        <w:spacing w:line="360" w:lineRule="auto"/>
        <w:ind w:firstLine="420" w:firstLineChars="200"/>
        <w:rPr>
          <w:rFonts w:ascii="宋体" w:hAnsi="宋体" w:cs="宋体"/>
          <w:sz w:val="21"/>
          <w:szCs w:val="21"/>
        </w:rPr>
      </w:pPr>
      <w:r>
        <w:rPr>
          <w:rFonts w:hint="eastAsia" w:ascii="宋体" w:hAnsi="宋体" w:cs="宋体"/>
          <w:sz w:val="21"/>
          <w:szCs w:val="21"/>
        </w:rPr>
        <w:t>各省、自治区、直辖市人民政府，国务院各部委、各直属机构及有关单位：</w:t>
      </w:r>
    </w:p>
    <w:p w14:paraId="171528C1">
      <w:pPr>
        <w:pStyle w:val="56"/>
        <w:spacing w:line="360" w:lineRule="auto"/>
        <w:ind w:firstLine="420" w:firstLineChars="200"/>
        <w:rPr>
          <w:rFonts w:ascii="宋体" w:hAnsi="宋体" w:cs="宋体"/>
          <w:sz w:val="21"/>
          <w:szCs w:val="21"/>
        </w:rPr>
      </w:pPr>
      <w:r>
        <w:rPr>
          <w:rFonts w:hint="eastAsia" w:ascii="宋体" w:hAnsi="宋体" w:cs="宋体"/>
          <w:sz w:val="21"/>
          <w:szCs w:val="21"/>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047D2AA9">
      <w:pPr>
        <w:pStyle w:val="56"/>
        <w:spacing w:line="360" w:lineRule="auto"/>
        <w:ind w:firstLine="420" w:firstLineChars="200"/>
        <w:jc w:val="right"/>
        <w:rPr>
          <w:rFonts w:ascii="宋体" w:hAnsi="宋体" w:cs="宋体"/>
          <w:sz w:val="21"/>
          <w:szCs w:val="21"/>
        </w:rPr>
      </w:pPr>
      <w:r>
        <w:rPr>
          <w:rFonts w:hint="eastAsia" w:ascii="宋体" w:hAnsi="宋体" w:cs="宋体"/>
          <w:sz w:val="21"/>
          <w:szCs w:val="21"/>
        </w:rPr>
        <w:t>工业和信息化部</w:t>
      </w:r>
    </w:p>
    <w:p w14:paraId="6C1DDD75">
      <w:pPr>
        <w:pStyle w:val="56"/>
        <w:spacing w:line="360" w:lineRule="auto"/>
        <w:ind w:firstLine="420" w:firstLineChars="200"/>
        <w:jc w:val="right"/>
        <w:rPr>
          <w:rFonts w:ascii="宋体" w:hAnsi="宋体" w:cs="宋体"/>
          <w:sz w:val="21"/>
          <w:szCs w:val="21"/>
        </w:rPr>
      </w:pPr>
      <w:r>
        <w:rPr>
          <w:rFonts w:hint="eastAsia" w:ascii="宋体" w:hAnsi="宋体" w:cs="宋体"/>
          <w:sz w:val="21"/>
          <w:szCs w:val="21"/>
        </w:rPr>
        <w:t>国家统计局</w:t>
      </w:r>
    </w:p>
    <w:p w14:paraId="1F196AF9">
      <w:pPr>
        <w:pStyle w:val="56"/>
        <w:spacing w:line="360" w:lineRule="auto"/>
        <w:ind w:firstLine="420" w:firstLineChars="200"/>
        <w:jc w:val="right"/>
        <w:rPr>
          <w:rFonts w:ascii="宋体" w:hAnsi="宋体" w:cs="宋体"/>
          <w:sz w:val="21"/>
          <w:szCs w:val="21"/>
        </w:rPr>
      </w:pPr>
      <w:r>
        <w:rPr>
          <w:rFonts w:hint="eastAsia" w:ascii="宋体" w:hAnsi="宋体" w:cs="宋体"/>
          <w:sz w:val="21"/>
          <w:szCs w:val="21"/>
        </w:rPr>
        <w:t>国家发展和改革委员会</w:t>
      </w:r>
    </w:p>
    <w:p w14:paraId="46E9569B">
      <w:pPr>
        <w:pStyle w:val="56"/>
        <w:spacing w:line="360" w:lineRule="auto"/>
        <w:ind w:firstLine="420" w:firstLineChars="200"/>
        <w:jc w:val="right"/>
        <w:rPr>
          <w:rFonts w:ascii="宋体" w:hAnsi="宋体" w:cs="宋体"/>
          <w:sz w:val="21"/>
          <w:szCs w:val="21"/>
        </w:rPr>
      </w:pPr>
      <w:r>
        <w:rPr>
          <w:rFonts w:hint="eastAsia" w:ascii="宋体" w:hAnsi="宋体" w:cs="宋体"/>
          <w:sz w:val="21"/>
          <w:szCs w:val="21"/>
        </w:rPr>
        <w:t>财政部</w:t>
      </w:r>
    </w:p>
    <w:p w14:paraId="61CAAB4F">
      <w:pPr>
        <w:pStyle w:val="56"/>
        <w:spacing w:line="360" w:lineRule="auto"/>
        <w:ind w:firstLine="420" w:firstLineChars="200"/>
        <w:jc w:val="right"/>
        <w:rPr>
          <w:rFonts w:ascii="宋体" w:hAnsi="宋体" w:cs="宋体"/>
          <w:sz w:val="21"/>
          <w:szCs w:val="21"/>
        </w:rPr>
      </w:pPr>
      <w:r>
        <w:rPr>
          <w:rFonts w:hint="eastAsia" w:ascii="宋体" w:hAnsi="宋体" w:cs="宋体"/>
          <w:sz w:val="21"/>
          <w:szCs w:val="21"/>
          <w:lang w:eastAsia="zh-CN"/>
        </w:rPr>
        <w:t>二〇一一</w:t>
      </w:r>
      <w:r>
        <w:rPr>
          <w:rFonts w:hint="eastAsia" w:ascii="宋体" w:hAnsi="宋体" w:cs="宋体"/>
          <w:sz w:val="21"/>
          <w:szCs w:val="21"/>
        </w:rPr>
        <w:t>年六月十八日</w:t>
      </w:r>
      <w:bookmarkStart w:id="1112" w:name="_Toc19819"/>
      <w:bookmarkEnd w:id="1112"/>
      <w:bookmarkStart w:id="1113" w:name="_Toc13328"/>
      <w:bookmarkEnd w:id="1113"/>
      <w:bookmarkStart w:id="1114" w:name="_Toc4126"/>
      <w:bookmarkEnd w:id="1114"/>
      <w:r>
        <w:rPr>
          <w:rFonts w:hint="eastAsia" w:ascii="宋体" w:hAnsi="宋体" w:cs="宋体"/>
          <w:sz w:val="21"/>
          <w:szCs w:val="21"/>
        </w:rPr>
        <w:t> </w:t>
      </w:r>
    </w:p>
    <w:p w14:paraId="40E1A86C">
      <w:pPr>
        <w:pStyle w:val="56"/>
        <w:spacing w:line="360" w:lineRule="auto"/>
        <w:ind w:firstLine="420" w:firstLineChars="200"/>
        <w:jc w:val="center"/>
        <w:rPr>
          <w:rFonts w:ascii="宋体" w:hAnsi="宋体" w:cs="宋体"/>
          <w:sz w:val="21"/>
          <w:szCs w:val="21"/>
        </w:rPr>
      </w:pPr>
      <w:bookmarkStart w:id="1115" w:name="_Toc6557"/>
      <w:r>
        <w:rPr>
          <w:rFonts w:hint="eastAsia" w:ascii="宋体" w:hAnsi="宋体" w:cs="宋体"/>
          <w:sz w:val="21"/>
          <w:szCs w:val="21"/>
        </w:rPr>
        <w:t>中小企业划型标准规定</w:t>
      </w:r>
      <w:bookmarkEnd w:id="1115"/>
    </w:p>
    <w:p w14:paraId="025E9DDE">
      <w:pPr>
        <w:pStyle w:val="56"/>
        <w:spacing w:line="360" w:lineRule="auto"/>
        <w:ind w:firstLine="420" w:firstLineChars="200"/>
        <w:rPr>
          <w:rFonts w:ascii="宋体" w:hAnsi="宋体" w:cs="宋体"/>
          <w:sz w:val="21"/>
          <w:szCs w:val="21"/>
        </w:rPr>
      </w:pPr>
      <w:r>
        <w:rPr>
          <w:rFonts w:hint="eastAsia" w:ascii="宋体" w:hAnsi="宋体" w:cs="宋体"/>
          <w:sz w:val="21"/>
          <w:szCs w:val="21"/>
        </w:rPr>
        <w:t> </w:t>
      </w:r>
    </w:p>
    <w:p w14:paraId="0B7F6070">
      <w:pPr>
        <w:pStyle w:val="56"/>
        <w:spacing w:line="360" w:lineRule="auto"/>
        <w:ind w:firstLine="420" w:firstLineChars="200"/>
        <w:rPr>
          <w:rFonts w:ascii="宋体" w:hAnsi="宋体" w:cs="宋体"/>
          <w:sz w:val="21"/>
          <w:szCs w:val="21"/>
        </w:rPr>
      </w:pPr>
      <w:r>
        <w:rPr>
          <w:rFonts w:hint="eastAsia" w:ascii="宋体" w:hAnsi="宋体" w:cs="宋体"/>
          <w:sz w:val="21"/>
          <w:szCs w:val="21"/>
        </w:rPr>
        <w:t>一、根据《中华人民共和国中小企业促进法》和《国务院关于进一步促进中小企业发展的若干意见》</w:t>
      </w:r>
      <w:r>
        <w:rPr>
          <w:rFonts w:hint="eastAsia" w:ascii="宋体" w:hAnsi="宋体" w:cs="宋体"/>
          <w:sz w:val="21"/>
          <w:szCs w:val="21"/>
          <w:lang w:eastAsia="zh-CN"/>
        </w:rPr>
        <w:t>（</w:t>
      </w:r>
      <w:r>
        <w:rPr>
          <w:rFonts w:hint="eastAsia" w:ascii="宋体" w:hAnsi="宋体" w:cs="宋体"/>
          <w:sz w:val="21"/>
          <w:szCs w:val="21"/>
        </w:rPr>
        <w:t>国发〔2009〕36号</w:t>
      </w:r>
      <w:r>
        <w:rPr>
          <w:rFonts w:hint="eastAsia" w:ascii="宋体" w:hAnsi="宋体" w:cs="宋体"/>
          <w:sz w:val="21"/>
          <w:szCs w:val="21"/>
          <w:lang w:eastAsia="zh-CN"/>
        </w:rPr>
        <w:t>）</w:t>
      </w:r>
      <w:r>
        <w:rPr>
          <w:rFonts w:hint="eastAsia" w:ascii="宋体" w:hAnsi="宋体" w:cs="宋体"/>
          <w:sz w:val="21"/>
          <w:szCs w:val="21"/>
        </w:rPr>
        <w:t>，制定本规定。</w:t>
      </w:r>
    </w:p>
    <w:p w14:paraId="00516C73">
      <w:pPr>
        <w:pStyle w:val="56"/>
        <w:spacing w:line="360" w:lineRule="auto"/>
        <w:ind w:firstLine="420" w:firstLineChars="200"/>
        <w:rPr>
          <w:rFonts w:ascii="宋体" w:hAnsi="宋体" w:cs="宋体"/>
          <w:sz w:val="21"/>
          <w:szCs w:val="21"/>
        </w:rPr>
      </w:pPr>
      <w:r>
        <w:rPr>
          <w:rFonts w:hint="eastAsia" w:ascii="宋体" w:hAnsi="宋体" w:cs="宋体"/>
          <w:sz w:val="21"/>
          <w:szCs w:val="21"/>
        </w:rPr>
        <w:t>二、中小企业划分为中型、小型、微型三种类型，具体标准根据企业从业人员、营业收入、资产总额等指标，结合行业特点制定。</w:t>
      </w:r>
    </w:p>
    <w:p w14:paraId="56D6CCC7">
      <w:pPr>
        <w:pStyle w:val="56"/>
        <w:spacing w:line="360" w:lineRule="auto"/>
        <w:ind w:firstLine="420" w:firstLineChars="200"/>
        <w:rPr>
          <w:rFonts w:ascii="宋体" w:hAnsi="宋体" w:cs="宋体"/>
          <w:sz w:val="21"/>
          <w:szCs w:val="21"/>
        </w:rPr>
      </w:pPr>
      <w:r>
        <w:rPr>
          <w:rFonts w:hint="eastAsia" w:ascii="宋体" w:hAnsi="宋体" w:cs="宋体"/>
          <w:sz w:val="21"/>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2451E73">
      <w:pPr>
        <w:pStyle w:val="56"/>
        <w:spacing w:line="360" w:lineRule="auto"/>
        <w:ind w:firstLine="420" w:firstLineChars="200"/>
        <w:rPr>
          <w:rFonts w:ascii="宋体" w:hAnsi="宋体" w:cs="宋体"/>
          <w:sz w:val="21"/>
          <w:szCs w:val="21"/>
        </w:rPr>
      </w:pPr>
      <w:r>
        <w:rPr>
          <w:rFonts w:hint="eastAsia" w:ascii="宋体" w:hAnsi="宋体" w:cs="宋体"/>
          <w:sz w:val="21"/>
          <w:szCs w:val="21"/>
        </w:rPr>
        <w:t>四、各行业划型标准为：</w:t>
      </w:r>
    </w:p>
    <w:p w14:paraId="4BCD087B">
      <w:pPr>
        <w:pStyle w:val="56"/>
        <w:spacing w:line="360" w:lineRule="auto"/>
        <w:ind w:firstLine="420" w:firstLineChars="200"/>
        <w:rPr>
          <w:rFonts w:ascii="宋体" w:hAnsi="宋体" w:cs="宋体"/>
          <w:sz w:val="21"/>
          <w:szCs w:val="21"/>
        </w:rPr>
      </w:pPr>
      <w:r>
        <w:rPr>
          <w:rFonts w:hint="eastAsia" w:ascii="宋体" w:hAnsi="宋体" w:cs="宋体"/>
          <w:sz w:val="21"/>
          <w:szCs w:val="21"/>
        </w:rPr>
        <w:t>（一）农、林、牧、渔业。营业收入20000万元以下的为中小微型企业。其中，营业收入500万元及以上的为中型企业，营业收入50万元及以上的为小型企业，营业收入50万元以下的为微型企业。</w:t>
      </w:r>
    </w:p>
    <w:p w14:paraId="358ACF3A">
      <w:pPr>
        <w:pStyle w:val="56"/>
        <w:spacing w:line="360" w:lineRule="auto"/>
        <w:ind w:firstLine="420" w:firstLineChars="200"/>
        <w:rPr>
          <w:rFonts w:ascii="宋体" w:hAnsi="宋体" w:cs="宋体"/>
          <w:sz w:val="21"/>
          <w:szCs w:val="21"/>
        </w:rPr>
      </w:pPr>
      <w:r>
        <w:rPr>
          <w:rFonts w:hint="eastAsia" w:ascii="宋体" w:hAnsi="宋体" w:cs="宋体"/>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63800C2">
      <w:pPr>
        <w:pStyle w:val="56"/>
        <w:spacing w:line="360" w:lineRule="auto"/>
        <w:ind w:firstLine="420" w:firstLineChars="200"/>
        <w:rPr>
          <w:rFonts w:ascii="宋体" w:hAnsi="宋体" w:cs="宋体"/>
          <w:sz w:val="21"/>
          <w:szCs w:val="21"/>
        </w:rPr>
      </w:pPr>
      <w:r>
        <w:rPr>
          <w:rFonts w:hint="eastAsia" w:ascii="宋体" w:hAnsi="宋体" w:cs="宋体"/>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91DAAB5">
      <w:pPr>
        <w:pStyle w:val="56"/>
        <w:spacing w:line="360" w:lineRule="auto"/>
        <w:ind w:firstLine="420" w:firstLineChars="200"/>
        <w:rPr>
          <w:rFonts w:ascii="宋体" w:hAnsi="宋体" w:cs="宋体"/>
          <w:sz w:val="21"/>
          <w:szCs w:val="21"/>
        </w:rPr>
      </w:pPr>
      <w:r>
        <w:rPr>
          <w:rFonts w:hint="eastAsia" w:ascii="宋体" w:hAnsi="宋体" w:cs="宋体"/>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B69B02C">
      <w:pPr>
        <w:pStyle w:val="56"/>
        <w:spacing w:line="360" w:lineRule="auto"/>
        <w:ind w:firstLine="420" w:firstLineChars="200"/>
        <w:rPr>
          <w:rFonts w:ascii="宋体" w:hAnsi="宋体" w:cs="宋体"/>
          <w:sz w:val="21"/>
          <w:szCs w:val="21"/>
        </w:rPr>
      </w:pPr>
      <w:r>
        <w:rPr>
          <w:rFonts w:hint="eastAsia" w:ascii="宋体" w:hAnsi="宋体" w:cs="宋体"/>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3072451">
      <w:pPr>
        <w:pStyle w:val="56"/>
        <w:spacing w:line="360" w:lineRule="auto"/>
        <w:ind w:firstLine="420" w:firstLineChars="200"/>
        <w:rPr>
          <w:rFonts w:ascii="宋体" w:hAnsi="宋体" w:cs="宋体"/>
          <w:sz w:val="21"/>
          <w:szCs w:val="21"/>
        </w:rPr>
      </w:pPr>
      <w:r>
        <w:rPr>
          <w:rFonts w:hint="eastAsia" w:ascii="宋体" w:hAnsi="宋体" w:cs="宋体"/>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C554F5F">
      <w:pPr>
        <w:pStyle w:val="56"/>
        <w:spacing w:line="360" w:lineRule="auto"/>
        <w:ind w:firstLine="420" w:firstLineChars="200"/>
        <w:rPr>
          <w:rFonts w:ascii="宋体" w:hAnsi="宋体" w:cs="宋体"/>
          <w:sz w:val="21"/>
          <w:szCs w:val="21"/>
        </w:rPr>
      </w:pPr>
      <w:r>
        <w:rPr>
          <w:rFonts w:hint="eastAsia" w:ascii="宋体" w:hAnsi="宋体" w:cs="宋体"/>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8F198CE">
      <w:pPr>
        <w:pStyle w:val="56"/>
        <w:spacing w:line="360" w:lineRule="auto"/>
        <w:ind w:firstLine="420" w:firstLineChars="200"/>
        <w:rPr>
          <w:rFonts w:ascii="宋体" w:hAnsi="宋体" w:cs="宋体"/>
          <w:sz w:val="21"/>
          <w:szCs w:val="21"/>
        </w:rPr>
      </w:pPr>
      <w:r>
        <w:rPr>
          <w:rFonts w:hint="eastAsia" w:ascii="宋体" w:hAnsi="宋体" w:cs="宋体"/>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00F8253">
      <w:pPr>
        <w:pStyle w:val="56"/>
        <w:spacing w:line="360" w:lineRule="auto"/>
        <w:ind w:firstLine="420" w:firstLineChars="200"/>
        <w:rPr>
          <w:rFonts w:ascii="宋体" w:hAnsi="宋体" w:cs="宋体"/>
          <w:sz w:val="21"/>
          <w:szCs w:val="21"/>
        </w:rPr>
      </w:pPr>
      <w:r>
        <w:rPr>
          <w:rFonts w:hint="eastAsia" w:ascii="宋体" w:hAnsi="宋体" w:cs="宋体"/>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B288C7C">
      <w:pPr>
        <w:pStyle w:val="56"/>
        <w:spacing w:line="360" w:lineRule="auto"/>
        <w:ind w:firstLine="420" w:firstLineChars="200"/>
        <w:rPr>
          <w:rFonts w:ascii="宋体" w:hAnsi="宋体" w:cs="宋体"/>
          <w:sz w:val="21"/>
          <w:szCs w:val="21"/>
        </w:rPr>
      </w:pPr>
      <w:r>
        <w:rPr>
          <w:rFonts w:hint="eastAsia" w:ascii="宋体" w:hAnsi="宋体" w:cs="宋体"/>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326F14C">
      <w:pPr>
        <w:pStyle w:val="56"/>
        <w:spacing w:line="360" w:lineRule="auto"/>
        <w:ind w:firstLine="420" w:firstLineChars="200"/>
        <w:rPr>
          <w:rFonts w:ascii="宋体" w:hAnsi="宋体" w:cs="宋体"/>
          <w:sz w:val="21"/>
          <w:szCs w:val="21"/>
        </w:rPr>
      </w:pPr>
      <w:r>
        <w:rPr>
          <w:rFonts w:hint="eastAsia" w:ascii="宋体" w:hAnsi="宋体" w:cs="宋体"/>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F2BBAFF">
      <w:pPr>
        <w:pStyle w:val="56"/>
        <w:spacing w:line="360" w:lineRule="auto"/>
        <w:ind w:firstLine="420" w:firstLineChars="200"/>
        <w:rPr>
          <w:rFonts w:ascii="宋体" w:hAnsi="宋体" w:cs="宋体"/>
          <w:sz w:val="21"/>
          <w:szCs w:val="21"/>
        </w:rPr>
      </w:pPr>
      <w:r>
        <w:rPr>
          <w:rFonts w:hint="eastAsia" w:ascii="宋体" w:hAnsi="宋体" w:cs="宋体"/>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39BD485">
      <w:pPr>
        <w:pStyle w:val="56"/>
        <w:spacing w:line="360" w:lineRule="auto"/>
        <w:ind w:firstLine="420" w:firstLineChars="200"/>
        <w:rPr>
          <w:rFonts w:ascii="宋体" w:hAnsi="宋体" w:cs="宋体"/>
          <w:sz w:val="21"/>
          <w:szCs w:val="21"/>
        </w:rPr>
      </w:pPr>
      <w:r>
        <w:rPr>
          <w:rFonts w:hint="eastAsia" w:ascii="宋体" w:hAnsi="宋体" w:cs="宋体"/>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59F4EB7">
      <w:pPr>
        <w:pStyle w:val="56"/>
        <w:spacing w:line="360" w:lineRule="auto"/>
        <w:ind w:firstLine="420" w:firstLineChars="200"/>
        <w:rPr>
          <w:rFonts w:ascii="宋体" w:hAnsi="宋体" w:cs="宋体"/>
          <w:sz w:val="21"/>
          <w:szCs w:val="21"/>
        </w:rPr>
      </w:pPr>
      <w:r>
        <w:rPr>
          <w:rFonts w:hint="eastAsia" w:ascii="宋体" w:hAnsi="宋体" w:cs="宋体"/>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344FA37">
      <w:pPr>
        <w:pStyle w:val="56"/>
        <w:spacing w:line="360" w:lineRule="auto"/>
        <w:ind w:firstLine="420" w:firstLineChars="200"/>
        <w:rPr>
          <w:rFonts w:ascii="宋体" w:hAnsi="宋体" w:cs="宋体"/>
          <w:sz w:val="21"/>
          <w:szCs w:val="21"/>
        </w:rPr>
      </w:pPr>
      <w:r>
        <w:rPr>
          <w:rFonts w:hint="eastAsia" w:ascii="宋体" w:hAnsi="宋体" w:cs="宋体"/>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AA2ACDF">
      <w:pPr>
        <w:pStyle w:val="56"/>
        <w:spacing w:line="360" w:lineRule="auto"/>
        <w:ind w:firstLine="420" w:firstLineChars="200"/>
        <w:rPr>
          <w:rFonts w:ascii="宋体" w:hAnsi="宋体" w:cs="宋体"/>
          <w:sz w:val="21"/>
          <w:szCs w:val="21"/>
        </w:rPr>
      </w:pPr>
      <w:r>
        <w:rPr>
          <w:rFonts w:hint="eastAsia" w:ascii="宋体" w:hAnsi="宋体" w:cs="宋体"/>
          <w:sz w:val="21"/>
          <w:szCs w:val="21"/>
        </w:rPr>
        <w:t>（十六）其他未列明行业。从业人员300人以下的为中小微型企业。其中，从业人员100人及以上的为中型企业；从业人员10人及以上的为小型企业；从业人员10人以下的为微型企业。</w:t>
      </w:r>
    </w:p>
    <w:p w14:paraId="1B280D5C">
      <w:pPr>
        <w:pStyle w:val="56"/>
        <w:spacing w:line="360" w:lineRule="auto"/>
        <w:ind w:firstLine="420" w:firstLineChars="200"/>
        <w:rPr>
          <w:rFonts w:ascii="宋体" w:hAnsi="宋体" w:cs="宋体"/>
          <w:sz w:val="21"/>
          <w:szCs w:val="21"/>
        </w:rPr>
      </w:pPr>
      <w:r>
        <w:rPr>
          <w:rFonts w:hint="eastAsia" w:ascii="宋体" w:hAnsi="宋体" w:cs="宋体"/>
          <w:sz w:val="21"/>
          <w:szCs w:val="21"/>
        </w:rPr>
        <w:t>五、企业类型的划分以统计部门的统计数据为依据。</w:t>
      </w:r>
    </w:p>
    <w:p w14:paraId="29EF2A23">
      <w:pPr>
        <w:pStyle w:val="56"/>
        <w:spacing w:line="360" w:lineRule="auto"/>
        <w:ind w:firstLine="420" w:firstLineChars="200"/>
        <w:rPr>
          <w:rFonts w:ascii="宋体" w:hAnsi="宋体" w:cs="宋体"/>
          <w:sz w:val="21"/>
          <w:szCs w:val="21"/>
        </w:rPr>
      </w:pPr>
      <w:r>
        <w:rPr>
          <w:rFonts w:hint="eastAsia" w:ascii="宋体" w:hAnsi="宋体" w:cs="宋体"/>
          <w:sz w:val="21"/>
          <w:szCs w:val="21"/>
        </w:rPr>
        <w:t>六、本规定适用于在中华人民共和国境内依法设立的各类所有制和各种组织形式的企业。个体工商户和本规定以外的行业，参照本规定进行划型。</w:t>
      </w:r>
    </w:p>
    <w:p w14:paraId="05E01CBD">
      <w:pPr>
        <w:pStyle w:val="56"/>
        <w:spacing w:line="360" w:lineRule="auto"/>
        <w:ind w:firstLine="420" w:firstLineChars="200"/>
        <w:rPr>
          <w:rFonts w:ascii="宋体" w:hAnsi="宋体" w:cs="宋体"/>
          <w:sz w:val="21"/>
          <w:szCs w:val="21"/>
        </w:rPr>
      </w:pPr>
      <w:r>
        <w:rPr>
          <w:rFonts w:hint="eastAsia" w:ascii="宋体" w:hAnsi="宋体" w:cs="宋体"/>
          <w:sz w:val="21"/>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71AD16FA">
      <w:pPr>
        <w:pStyle w:val="56"/>
        <w:spacing w:line="360" w:lineRule="auto"/>
        <w:ind w:firstLine="420" w:firstLineChars="200"/>
        <w:rPr>
          <w:rFonts w:ascii="宋体" w:hAnsi="宋体" w:cs="宋体"/>
          <w:sz w:val="21"/>
          <w:szCs w:val="21"/>
        </w:rPr>
      </w:pPr>
      <w:r>
        <w:rPr>
          <w:rFonts w:hint="eastAsia" w:ascii="宋体" w:hAnsi="宋体" w:cs="宋体"/>
          <w:sz w:val="21"/>
          <w:szCs w:val="21"/>
        </w:rPr>
        <w:t>八、本规定由工业和信息化部、国家统计局会同有关部门根据《国民经济行业分类》修订情况和企业发展变化情况适时修订。</w:t>
      </w:r>
    </w:p>
    <w:p w14:paraId="7823D00E">
      <w:pPr>
        <w:pStyle w:val="56"/>
        <w:spacing w:line="360" w:lineRule="auto"/>
        <w:ind w:firstLine="420" w:firstLineChars="200"/>
        <w:rPr>
          <w:rFonts w:ascii="宋体" w:hAnsi="宋体" w:cs="宋体"/>
          <w:sz w:val="21"/>
          <w:szCs w:val="21"/>
        </w:rPr>
      </w:pPr>
      <w:r>
        <w:rPr>
          <w:rFonts w:hint="eastAsia" w:ascii="宋体" w:hAnsi="宋体" w:cs="宋体"/>
          <w:sz w:val="21"/>
          <w:szCs w:val="21"/>
        </w:rPr>
        <w:t>九、本规定由工业和信息化部、国家统计局会同有关部门负责解释。</w:t>
      </w:r>
    </w:p>
    <w:p w14:paraId="3B482F7F">
      <w:pPr>
        <w:spacing w:line="360" w:lineRule="auto"/>
      </w:pPr>
      <w:r>
        <w:rPr>
          <w:rFonts w:hint="eastAsia" w:ascii="宋体" w:hAnsi="宋体" w:cs="宋体"/>
          <w:sz w:val="21"/>
          <w:szCs w:val="21"/>
        </w:rPr>
        <w:t>十、本规定自发布之日起执行，原国家经贸委、原国家计委、财政部和国家统计局2003年颁布的《中小企业标准暂行规定》同时废止。</w:t>
      </w:r>
    </w:p>
    <w:p w14:paraId="7000AFB8">
      <w:pPr>
        <w:pStyle w:val="12"/>
        <w:rPr>
          <w:lang w:val="zh-CN"/>
        </w:rPr>
      </w:pPr>
    </w:p>
    <w:p w14:paraId="080A3A86">
      <w:pPr>
        <w:pStyle w:val="12"/>
        <w:rPr>
          <w:lang w:val="zh-CN"/>
        </w:rPr>
        <w:sectPr>
          <w:footerReference r:id="rId10" w:type="first"/>
          <w:footerReference r:id="rId9" w:type="default"/>
          <w:pgSz w:w="11849" w:h="16781"/>
          <w:pgMar w:top="1440" w:right="1080" w:bottom="1440" w:left="1080" w:header="680" w:footer="992" w:gutter="0"/>
          <w:cols w:space="720" w:num="1"/>
          <w:titlePg/>
          <w:docGrid w:linePitch="397" w:charSpace="0"/>
        </w:sectPr>
      </w:pPr>
    </w:p>
    <w:p w14:paraId="68A28FC6">
      <w:pPr>
        <w:spacing w:line="360" w:lineRule="auto"/>
        <w:jc w:val="center"/>
        <w:outlineLvl w:val="0"/>
        <w:rPr>
          <w:rFonts w:ascii="宋体" w:hAnsi="宋体" w:cs="宋体"/>
          <w:b/>
          <w:bCs/>
          <w:sz w:val="36"/>
          <w:szCs w:val="36"/>
          <w:lang w:val="zh-CN"/>
        </w:rPr>
      </w:pPr>
      <w:bookmarkStart w:id="1116" w:name="_Toc31768"/>
      <w:bookmarkStart w:id="1117" w:name="_Toc3031"/>
      <w:bookmarkStart w:id="1118" w:name="_Toc10427"/>
      <w:bookmarkStart w:id="1119" w:name="_Toc23967"/>
      <w:bookmarkStart w:id="1120" w:name="_Toc448"/>
      <w:bookmarkStart w:id="1121" w:name="_Toc775"/>
      <w:bookmarkStart w:id="1122" w:name="_Toc18752"/>
      <w:bookmarkStart w:id="1123" w:name="_Toc12712"/>
      <w:bookmarkStart w:id="1124" w:name="_Toc28202"/>
      <w:bookmarkStart w:id="1125" w:name="_Toc15999_WPSOffice_Level1"/>
      <w:bookmarkStart w:id="1126" w:name="_Toc23536"/>
      <w:bookmarkStart w:id="1127" w:name="_Toc18423_WPSOffice_Level1"/>
      <w:bookmarkStart w:id="1128" w:name="_Toc26401"/>
      <w:bookmarkStart w:id="1129" w:name="_Toc1243"/>
      <w:bookmarkStart w:id="1130" w:name="_Toc10943"/>
      <w:bookmarkStart w:id="1131" w:name="_Toc6367"/>
      <w:bookmarkStart w:id="1132" w:name="_Toc30799"/>
      <w:bookmarkStart w:id="1133" w:name="_Toc16666"/>
      <w:bookmarkStart w:id="1134" w:name="_Toc17223"/>
      <w:bookmarkStart w:id="1135" w:name="_Toc19798"/>
      <w:bookmarkStart w:id="1136" w:name="_Toc2909"/>
      <w:bookmarkStart w:id="1137" w:name="_Toc28"/>
      <w:bookmarkStart w:id="1138" w:name="_Toc31090"/>
      <w:bookmarkStart w:id="1139" w:name="_Toc8856"/>
      <w:bookmarkStart w:id="1140" w:name="_Toc4690"/>
      <w:r>
        <w:rPr>
          <w:rFonts w:hint="eastAsia" w:ascii="宋体" w:hAnsi="宋体" w:cs="宋体"/>
          <w:b/>
          <w:bCs/>
          <w:sz w:val="36"/>
          <w:szCs w:val="36"/>
          <w:lang w:val="zh-CN"/>
        </w:rPr>
        <w:t>第五部分 采购内容及技术参数要求</w:t>
      </w:r>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047"/>
        <w:gridCol w:w="6964"/>
        <w:gridCol w:w="730"/>
        <w:gridCol w:w="647"/>
      </w:tblGrid>
      <w:tr w14:paraId="54D97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8" w:type="dxa"/>
            <w:vAlign w:val="center"/>
          </w:tcPr>
          <w:p w14:paraId="51D3BC12">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序号</w:t>
            </w:r>
          </w:p>
        </w:tc>
        <w:tc>
          <w:tcPr>
            <w:tcW w:w="1048" w:type="dxa"/>
            <w:vAlign w:val="center"/>
          </w:tcPr>
          <w:p w14:paraId="1F6D7E72">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设备名称</w:t>
            </w:r>
          </w:p>
        </w:tc>
        <w:tc>
          <w:tcPr>
            <w:tcW w:w="6969" w:type="dxa"/>
            <w:vAlign w:val="center"/>
          </w:tcPr>
          <w:p w14:paraId="1FE06174">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技术参数</w:t>
            </w:r>
          </w:p>
        </w:tc>
        <w:tc>
          <w:tcPr>
            <w:tcW w:w="730" w:type="dxa"/>
            <w:vAlign w:val="center"/>
          </w:tcPr>
          <w:p w14:paraId="6C2DDCAE">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单位</w:t>
            </w:r>
          </w:p>
        </w:tc>
        <w:tc>
          <w:tcPr>
            <w:tcW w:w="647" w:type="dxa"/>
            <w:vAlign w:val="center"/>
          </w:tcPr>
          <w:p w14:paraId="6A47B744">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数量</w:t>
            </w:r>
          </w:p>
        </w:tc>
      </w:tr>
      <w:tr w14:paraId="4F3EE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8" w:type="dxa"/>
            <w:vAlign w:val="center"/>
          </w:tcPr>
          <w:p w14:paraId="7EE740D7">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p>
        </w:tc>
        <w:tc>
          <w:tcPr>
            <w:tcW w:w="1048" w:type="dxa"/>
            <w:vAlign w:val="center"/>
          </w:tcPr>
          <w:p w14:paraId="0AAF6147">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智能交互黑板</w:t>
            </w:r>
          </w:p>
        </w:tc>
        <w:tc>
          <w:tcPr>
            <w:tcW w:w="6969" w:type="dxa"/>
          </w:tcPr>
          <w:p w14:paraId="654C1CEB">
            <w:pPr>
              <w:numPr>
                <w:ilvl w:val="0"/>
                <w:numId w:val="3"/>
              </w:numPr>
              <w:spacing w:line="360" w:lineRule="auto"/>
              <w:rPr>
                <w:rFonts w:hint="eastAsia" w:ascii="宋体" w:hAnsi="宋体" w:eastAsia="宋体" w:cs="宋体"/>
                <w:b/>
                <w:bCs/>
                <w:sz w:val="21"/>
                <w:szCs w:val="21"/>
              </w:rPr>
            </w:pPr>
            <w:r>
              <w:rPr>
                <w:rFonts w:hint="eastAsia" w:ascii="宋体" w:hAnsi="宋体" w:eastAsia="宋体" w:cs="宋体"/>
                <w:b/>
                <w:bCs/>
                <w:sz w:val="21"/>
                <w:szCs w:val="21"/>
              </w:rPr>
              <w:t>整体设计</w:t>
            </w:r>
          </w:p>
          <w:p w14:paraId="4F754D0C">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整机屏幕采用86英寸液晶显示器。</w:t>
            </w:r>
          </w:p>
          <w:p w14:paraId="5F0602DD">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整机采用全金属外壳设计，三拼接平面一体化设计，主副屏过渡平滑并在同一平面，中间无单独边框阻隔，边角采用弧形设计，表面无尖锐边缘。</w:t>
            </w:r>
          </w:p>
          <w:p w14:paraId="0902EC56">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整机屏幕边缘采用金属圆角包边防护，整机背板采用金属材质，有效屏蔽内部电路器件辐射。</w:t>
            </w:r>
          </w:p>
          <w:p w14:paraId="58F88B5F">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4、</w:t>
            </w:r>
            <w:r>
              <w:rPr>
                <w:rFonts w:hint="eastAsia" w:ascii="宋体" w:hAnsi="宋体" w:eastAsia="宋体" w:cs="宋体"/>
                <w:sz w:val="21"/>
                <w:szCs w:val="21"/>
              </w:rPr>
              <w:t>整体外观尺寸：宽≥4200mm，高≥1200mm，厚≤110mm。采用三拼接平面一体化设计，外观简洁无推拉式结构，外部无任何可见内部功能模块连接线。</w:t>
            </w:r>
          </w:p>
          <w:p w14:paraId="6A5CFF58">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5、</w:t>
            </w:r>
            <w:r>
              <w:rPr>
                <w:rFonts w:hint="eastAsia" w:ascii="宋体" w:hAnsi="宋体" w:eastAsia="宋体" w:cs="宋体"/>
                <w:sz w:val="21"/>
                <w:szCs w:val="21"/>
              </w:rPr>
              <w:t>整机设备副屏板面材质：采用彩钢板，板面喷涂纳米书写涂层。</w:t>
            </w:r>
          </w:p>
          <w:p w14:paraId="549EF54F">
            <w:pPr>
              <w:numPr>
                <w:ilvl w:val="0"/>
                <w:numId w:val="0"/>
              </w:numPr>
              <w:spacing w:line="360" w:lineRule="auto"/>
              <w:ind w:leftChars="0"/>
              <w:rPr>
                <w:rFonts w:hint="eastAsia" w:ascii="宋体" w:hAnsi="宋体" w:eastAsia="宋体" w:cs="宋体"/>
                <w:sz w:val="21"/>
                <w:szCs w:val="21"/>
              </w:rPr>
            </w:pPr>
            <w:r>
              <w:rPr>
                <w:rFonts w:hint="eastAsia" w:ascii="宋体" w:hAnsi="宋体" w:eastAsia="宋体" w:cs="宋体"/>
                <w:sz w:val="21"/>
                <w:szCs w:val="21"/>
              </w:rPr>
              <w:t>副板全板面区域均可粉笔书写，整机表面支持3种及以上类型的笔书写</w:t>
            </w:r>
            <w:r>
              <w:rPr>
                <w:rFonts w:hint="eastAsia" w:ascii="宋体" w:hAnsi="宋体" w:eastAsia="宋体" w:cs="宋体"/>
                <w:sz w:val="21"/>
                <w:szCs w:val="21"/>
                <w:lang w:eastAsia="zh-CN"/>
              </w:rPr>
              <w:t>：</w:t>
            </w:r>
            <w:r>
              <w:rPr>
                <w:rFonts w:hint="eastAsia" w:ascii="宋体" w:hAnsi="宋体" w:eastAsia="宋体" w:cs="宋体"/>
                <w:sz w:val="21"/>
                <w:szCs w:val="21"/>
              </w:rPr>
              <w:t>水性笔、普通粉笔、无尘粉笔、成膜笔等。</w:t>
            </w:r>
          </w:p>
          <w:p w14:paraId="2AB5911E">
            <w:pPr>
              <w:numPr>
                <w:ilvl w:val="0"/>
                <w:numId w:val="0"/>
              </w:numPr>
              <w:spacing w:line="360" w:lineRule="auto"/>
              <w:ind w:left="0" w:leftChars="0" w:firstLine="0" w:firstLineChars="0"/>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6、</w:t>
            </w:r>
            <w:r>
              <w:rPr>
                <w:rFonts w:hint="eastAsia" w:ascii="宋体" w:hAnsi="宋体" w:eastAsia="宋体" w:cs="宋体"/>
                <w:color w:val="auto"/>
                <w:sz w:val="21"/>
                <w:szCs w:val="21"/>
              </w:rPr>
              <w:t>整机设备副屏板面夹层材质：采用铝蜂窝材质，漆膜硬度≥6H。</w:t>
            </w:r>
          </w:p>
          <w:p w14:paraId="167F3A67">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7、</w:t>
            </w:r>
            <w:r>
              <w:rPr>
                <w:rFonts w:hint="eastAsia" w:ascii="宋体" w:hAnsi="宋体" w:eastAsia="宋体" w:cs="宋体"/>
                <w:sz w:val="21"/>
                <w:szCs w:val="21"/>
              </w:rPr>
              <w:t>整机设备副板支持磁吸附功能，可以满足带有磁吸的板擦等教具进行吸附在副屏上。</w:t>
            </w:r>
          </w:p>
          <w:p w14:paraId="47F52610">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8、</w:t>
            </w:r>
            <w:r>
              <w:rPr>
                <w:rFonts w:hint="eastAsia" w:ascii="宋体" w:hAnsi="宋体" w:eastAsia="宋体" w:cs="宋体"/>
                <w:sz w:val="21"/>
                <w:szCs w:val="21"/>
              </w:rPr>
              <w:t>整机通过高低温工作及贮存检测，耐盐雾蚀锈，保证产品可靠性，适应多种教学环境。</w:t>
            </w:r>
          </w:p>
          <w:p w14:paraId="00F1C024">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9、</w:t>
            </w:r>
            <w:r>
              <w:rPr>
                <w:rFonts w:hint="eastAsia" w:ascii="宋体" w:hAnsi="宋体" w:eastAsia="宋体" w:cs="宋体"/>
                <w:sz w:val="21"/>
                <w:szCs w:val="21"/>
              </w:rPr>
              <w:t>整机内置电脑模块采用侧向插拔设计，为防止电脑模块跌落造成损坏，不接受由下至上插入电脑模块的安装方式。</w:t>
            </w:r>
          </w:p>
          <w:p w14:paraId="4725B9AA">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10、</w:t>
            </w:r>
            <w:r>
              <w:rPr>
                <w:rFonts w:hint="eastAsia" w:ascii="宋体" w:hAnsi="宋体" w:eastAsia="宋体" w:cs="宋体"/>
                <w:sz w:val="21"/>
                <w:szCs w:val="21"/>
              </w:rPr>
              <w:t>整机采用UHD超高清LED液晶屏，液晶显示屏幕采用工业级A规液晶面板，显示比例16:9，分辨率≥3840×2160。整机可视角度≥178°。整机屏幕灰度等级≥256级。</w:t>
            </w:r>
          </w:p>
          <w:p w14:paraId="105D90D9">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11、</w:t>
            </w:r>
            <w:r>
              <w:rPr>
                <w:rFonts w:hint="eastAsia" w:ascii="宋体" w:hAnsi="宋体" w:eastAsia="宋体" w:cs="宋体"/>
                <w:sz w:val="21"/>
                <w:szCs w:val="21"/>
              </w:rPr>
              <w:t>★整机系统具备高清4K视频处理能力，4K 高清显示，使画面亮丽、清晰、流畅，保证显示效果；且具有自动优化运动图像功能,可有效解决图像抖动问题。</w:t>
            </w:r>
            <w:r>
              <w:rPr>
                <w:rFonts w:hint="eastAsia" w:ascii="宋体" w:hAnsi="宋体" w:eastAsia="宋体" w:cs="宋体"/>
                <w:sz w:val="21"/>
                <w:szCs w:val="21"/>
                <w:highlight w:val="none"/>
              </w:rPr>
              <w:t>（提供具有CMA及CNAS认证标识的第三方检测机构权威检测报告）</w:t>
            </w:r>
          </w:p>
          <w:p w14:paraId="41830A6C">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12、</w:t>
            </w:r>
            <w:r>
              <w:rPr>
                <w:rFonts w:hint="eastAsia" w:ascii="宋体" w:hAnsi="宋体" w:eastAsia="宋体" w:cs="宋体"/>
                <w:sz w:val="21"/>
                <w:szCs w:val="21"/>
              </w:rPr>
              <w:t>★整机支持全通道4K显示，全通道OSD菜单及整机内置系统均支持4K图像显示。</w:t>
            </w:r>
            <w:r>
              <w:rPr>
                <w:rFonts w:hint="eastAsia" w:ascii="宋体" w:hAnsi="宋体" w:eastAsia="宋体" w:cs="宋体"/>
                <w:sz w:val="21"/>
                <w:szCs w:val="21"/>
                <w:highlight w:val="none"/>
              </w:rPr>
              <w:t>（提供具有CMA及CNAS认证标识的第三方检测机构权威检测报告）</w:t>
            </w:r>
          </w:p>
          <w:p w14:paraId="040343B0">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13、</w:t>
            </w:r>
            <w:r>
              <w:rPr>
                <w:rFonts w:hint="eastAsia" w:ascii="宋体" w:hAnsi="宋体" w:eastAsia="宋体" w:cs="宋体"/>
                <w:sz w:val="21"/>
                <w:szCs w:val="21"/>
              </w:rPr>
              <w:t>★整机屏幕采用直流背光源，保证显示画面无频闪，有效避免视觉疲劳，呵护师生用眼健康。</w:t>
            </w:r>
            <w:r>
              <w:rPr>
                <w:rFonts w:hint="eastAsia" w:ascii="宋体" w:hAnsi="宋体" w:eastAsia="宋体" w:cs="宋体"/>
                <w:sz w:val="21"/>
                <w:szCs w:val="21"/>
                <w:highlight w:val="none"/>
              </w:rPr>
              <w:t>（提供具有CMA及CNAS认证标识的第三方检测机构权威检测报告）</w:t>
            </w:r>
          </w:p>
          <w:p w14:paraId="75274EDF">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14、</w:t>
            </w:r>
            <w:r>
              <w:rPr>
                <w:rFonts w:hint="eastAsia" w:ascii="宋体" w:hAnsi="宋体" w:eastAsia="宋体" w:cs="宋体"/>
                <w:sz w:val="21"/>
                <w:szCs w:val="21"/>
              </w:rPr>
              <w:t>★整机色域覆盖率（NTSC）≥105%。</w:t>
            </w:r>
          </w:p>
          <w:p w14:paraId="4871947C">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15、</w:t>
            </w:r>
            <w:r>
              <w:rPr>
                <w:rFonts w:hint="eastAsia" w:ascii="宋体" w:hAnsi="宋体" w:eastAsia="宋体" w:cs="宋体"/>
                <w:sz w:val="21"/>
                <w:szCs w:val="21"/>
              </w:rPr>
              <w:t>整机最大屏幕亮度≥300cd/m²，使用时屏幕亮度不大于400cd/m²，符合国家GB40070-2021《儿童青少年学习用品近视防控卫生要求》。</w:t>
            </w:r>
          </w:p>
          <w:p w14:paraId="6998823F">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16、</w:t>
            </w:r>
            <w:r>
              <w:rPr>
                <w:rFonts w:hint="eastAsia" w:ascii="宋体" w:hAnsi="宋体" w:eastAsia="宋体" w:cs="宋体"/>
                <w:sz w:val="21"/>
                <w:szCs w:val="21"/>
              </w:rPr>
              <w:t>为保障整机色彩显示效果，需支持高色准，sRGB色彩△E≤1.5。</w:t>
            </w:r>
          </w:p>
          <w:p w14:paraId="39683765">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17、</w:t>
            </w:r>
            <w:r>
              <w:rPr>
                <w:rFonts w:hint="eastAsia" w:ascii="宋体" w:hAnsi="宋体" w:eastAsia="宋体" w:cs="宋体"/>
                <w:sz w:val="21"/>
                <w:szCs w:val="21"/>
              </w:rPr>
              <w:t>整机采用硬件低蓝光背光技术，在源头减少有害蓝光波段能量，蓝光占比（有害蓝光415～455nm能量综合）/（整体蓝光400～500能量综合）＜50%，低蓝光保护显示不偏色、不泛黄。</w:t>
            </w:r>
          </w:p>
          <w:p w14:paraId="32A1AF7D">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18、</w:t>
            </w:r>
            <w:r>
              <w:rPr>
                <w:rFonts w:hint="eastAsia" w:ascii="宋体" w:hAnsi="宋体" w:eastAsia="宋体" w:cs="宋体"/>
                <w:sz w:val="21"/>
                <w:szCs w:val="21"/>
              </w:rPr>
              <w:t>整机视网膜蓝光危害（蓝光加权辐射亮度LB）满足IEC TR 62778:2014蓝光危害RG0级别。</w:t>
            </w:r>
          </w:p>
          <w:p w14:paraId="4B24AA1A">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19、</w:t>
            </w:r>
            <w:r>
              <w:rPr>
                <w:rFonts w:hint="eastAsia" w:ascii="宋体" w:hAnsi="宋体" w:eastAsia="宋体" w:cs="宋体"/>
                <w:sz w:val="21"/>
                <w:szCs w:val="21"/>
              </w:rPr>
              <w:t>整机支持多种护眼功能，可通过快捷菜单触控按键进行护眼模式切换，护眼模式下，整机显示画面更加柔和，有效保护视力。</w:t>
            </w:r>
          </w:p>
          <w:p w14:paraId="142886B1">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20、</w:t>
            </w:r>
            <w:r>
              <w:rPr>
                <w:rFonts w:hint="eastAsia" w:ascii="宋体" w:hAnsi="宋体" w:eastAsia="宋体" w:cs="宋体"/>
                <w:sz w:val="21"/>
                <w:szCs w:val="21"/>
              </w:rPr>
              <w:t>★整机支持纸质护眼模式，可以在任意通道任意画面任意软件所有显示内容下实现画面纹理的实时调整；支持纸质纹理：牛皮纸、水彩纸、水纹纸、素描、宣纸；支持纹理透明度调节；支持色温调节。</w:t>
            </w:r>
          </w:p>
          <w:p w14:paraId="69F00983">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21、</w:t>
            </w:r>
            <w:r>
              <w:rPr>
                <w:rFonts w:hint="eastAsia" w:ascii="宋体" w:hAnsi="宋体" w:eastAsia="宋体" w:cs="宋体"/>
                <w:sz w:val="21"/>
                <w:szCs w:val="21"/>
              </w:rPr>
              <w:t>整机采用全物理钢化玻璃，钢化玻璃表面硬度≥9H，有效保护屏幕显示画面。</w:t>
            </w:r>
          </w:p>
          <w:p w14:paraId="1FF6DE78">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22、</w:t>
            </w:r>
            <w:r>
              <w:rPr>
                <w:rFonts w:hint="eastAsia" w:ascii="宋体" w:hAnsi="宋体" w:eastAsia="宋体" w:cs="宋体"/>
                <w:sz w:val="21"/>
                <w:szCs w:val="21"/>
              </w:rPr>
              <w:t>钢化玻璃厚度3.0mm，表面反射率≤3%。</w:t>
            </w:r>
          </w:p>
          <w:p w14:paraId="136E88CD">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23、</w:t>
            </w:r>
            <w:r>
              <w:rPr>
                <w:rFonts w:hint="eastAsia" w:ascii="宋体" w:hAnsi="宋体" w:eastAsia="宋体" w:cs="宋体"/>
                <w:sz w:val="21"/>
                <w:szCs w:val="21"/>
              </w:rPr>
              <w:t>整机采用防眩光玻璃，屏幕支持防眩光功能，透光率≥93%，光泽度≤8度。</w:t>
            </w:r>
          </w:p>
          <w:p w14:paraId="6530F608">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24、</w:t>
            </w:r>
            <w:r>
              <w:rPr>
                <w:rFonts w:hint="eastAsia" w:ascii="宋体" w:hAnsi="宋体" w:eastAsia="宋体" w:cs="宋体"/>
                <w:sz w:val="21"/>
                <w:szCs w:val="21"/>
              </w:rPr>
              <w:t>整机书写面板采用耐磨玻璃材质，长期使用情况下面板磨损导致的雾度不超过1%。</w:t>
            </w:r>
          </w:p>
          <w:p w14:paraId="0273B280">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25、</w:t>
            </w:r>
            <w:r>
              <w:rPr>
                <w:rFonts w:hint="eastAsia" w:ascii="宋体" w:hAnsi="宋体" w:eastAsia="宋体" w:cs="宋体"/>
                <w:sz w:val="21"/>
                <w:szCs w:val="21"/>
              </w:rPr>
              <w:t>整机表面覆盖玻璃选用国际优等品，光学变形、点状缺陷、尺寸偏差、弯曲度、透射比等均符合GB11614-2009平板玻璃标准。</w:t>
            </w:r>
          </w:p>
          <w:p w14:paraId="115AF8D8">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26、</w:t>
            </w:r>
            <w:r>
              <w:rPr>
                <w:rFonts w:hint="eastAsia" w:ascii="宋体" w:hAnsi="宋体" w:eastAsia="宋体" w:cs="宋体"/>
                <w:sz w:val="21"/>
                <w:szCs w:val="21"/>
              </w:rPr>
              <w:t>整机书写面板采用防眩光全钢化防爆玻璃面板，面板的碎片状态、表面应力、抗冲击性、霰弹袋冲击性能、耐热冲击性能均通过国家强制玻璃标准，适应学校复杂环境，保障教学安全。</w:t>
            </w:r>
          </w:p>
          <w:p w14:paraId="7966D93D">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27、</w:t>
            </w:r>
            <w:r>
              <w:rPr>
                <w:rFonts w:hint="eastAsia" w:ascii="宋体" w:hAnsi="宋体" w:eastAsia="宋体" w:cs="宋体"/>
                <w:sz w:val="21"/>
                <w:szCs w:val="21"/>
              </w:rPr>
              <w:t>整机电磁干扰ITE达到国标GB/T9254.1-2021 Class B等级要求，使用本产品环境中其他人或者电子设备无需采用任何电磁防护措施，满足教学环境多电子设备共用，不接受GB/T9254.1-2021 Class A等级产品。（ClassA等级产品在CCC证书上会专门标识ClassA警示）</w:t>
            </w:r>
          </w:p>
          <w:p w14:paraId="066690D2">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28、</w:t>
            </w:r>
            <w:r>
              <w:rPr>
                <w:rFonts w:hint="eastAsia" w:ascii="宋体" w:hAnsi="宋体" w:eastAsia="宋体" w:cs="宋体"/>
                <w:sz w:val="21"/>
                <w:szCs w:val="21"/>
              </w:rPr>
              <w:t>盐雾腐蚀及防火要求，机身具备防盐雾锈蚀特性，满足 GB/T10125 标准中的防盐雾腐蚀 10 级，且满足GB4943.1-2022标准中的安全要求。</w:t>
            </w:r>
          </w:p>
          <w:p w14:paraId="7DAB62B5">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29、</w:t>
            </w:r>
            <w:r>
              <w:rPr>
                <w:rFonts w:hint="eastAsia" w:ascii="宋体" w:hAnsi="宋体" w:eastAsia="宋体" w:cs="宋体"/>
                <w:sz w:val="21"/>
                <w:szCs w:val="21"/>
              </w:rPr>
              <w:t>整机具备抗振动、防跌落特性，保证整机运输或使用过程中不易受损。</w:t>
            </w:r>
          </w:p>
          <w:p w14:paraId="3194D1BB">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30、</w:t>
            </w:r>
            <w:r>
              <w:rPr>
                <w:rFonts w:hint="eastAsia" w:ascii="宋体" w:hAnsi="宋体" w:eastAsia="宋体" w:cs="宋体"/>
                <w:sz w:val="21"/>
                <w:szCs w:val="21"/>
              </w:rPr>
              <w:t>产品触摸组件具备抗扭曲能力,在部分元器件与机身分离≤15 °的情况下仍可正常多点触控。</w:t>
            </w:r>
          </w:p>
          <w:p w14:paraId="193122E3">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31、</w:t>
            </w:r>
            <w:r>
              <w:rPr>
                <w:rFonts w:hint="eastAsia" w:ascii="宋体" w:hAnsi="宋体" w:eastAsia="宋体" w:cs="宋体"/>
                <w:sz w:val="21"/>
                <w:szCs w:val="21"/>
              </w:rPr>
              <w:t>整机在0℃- 40℃环境下可正常工作，在-20℃—60℃的环境下可正常贮存且贮存后功能无损。</w:t>
            </w:r>
          </w:p>
          <w:p w14:paraId="6F7F3A20">
            <w:pPr>
              <w:numPr>
                <w:ilvl w:val="0"/>
                <w:numId w:val="3"/>
              </w:numPr>
              <w:spacing w:line="360" w:lineRule="auto"/>
              <w:rPr>
                <w:rFonts w:hint="eastAsia" w:ascii="宋体" w:hAnsi="宋体" w:eastAsia="宋体" w:cs="宋体"/>
                <w:b/>
                <w:bCs/>
                <w:sz w:val="21"/>
                <w:szCs w:val="21"/>
              </w:rPr>
            </w:pPr>
            <w:r>
              <w:rPr>
                <w:rFonts w:hint="eastAsia" w:ascii="宋体" w:hAnsi="宋体" w:eastAsia="宋体" w:cs="宋体"/>
                <w:b/>
                <w:bCs/>
                <w:sz w:val="21"/>
                <w:szCs w:val="21"/>
              </w:rPr>
              <w:t>整机设计</w:t>
            </w:r>
          </w:p>
          <w:p w14:paraId="43AE4FFA">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整机具备三合一电源按键，同一电源物理按键完成Android系统和Windows系统的开机、节能息屏/唤醒、关机操作；关机状态下按按键开机；开机状态下按按键实现节能息屏/唤醒，长按按键实现关机。</w:t>
            </w:r>
          </w:p>
          <w:p w14:paraId="1F7349EB">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设备在不关闭整机电源的情况下可一键关闭或开启液晶屏背光，一键节能可降低整机功耗≥98%。</w:t>
            </w:r>
          </w:p>
          <w:p w14:paraId="2E7CCAD7">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整机支持通过安卓系统下软件还原、键盘还原等多种方式进行Windows系统还原操作。</w:t>
            </w:r>
          </w:p>
          <w:p w14:paraId="6C73B23B">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4、</w:t>
            </w:r>
            <w:r>
              <w:rPr>
                <w:rFonts w:hint="eastAsia" w:ascii="宋体" w:hAnsi="宋体" w:eastAsia="宋体" w:cs="宋体"/>
                <w:sz w:val="21"/>
                <w:szCs w:val="21"/>
              </w:rPr>
              <w:t>侧置输入接口≥1路HDMI、≥1路RS232、≥2路USB接口、≥1路LAN接口；侧置输出接口≥1路音频输出、≥1路触控USB输出；前置接口≥3路USB接口（包含1路Type-C、2路USB）、≥1路HDMI、≥1路TOUCH；所有接口具备明显的丝印标识。</w:t>
            </w:r>
          </w:p>
          <w:p w14:paraId="1BEC8763">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5、</w:t>
            </w:r>
            <w:r>
              <w:rPr>
                <w:rFonts w:hint="eastAsia" w:ascii="宋体" w:hAnsi="宋体" w:eastAsia="宋体" w:cs="宋体"/>
                <w:sz w:val="21"/>
                <w:szCs w:val="21"/>
              </w:rPr>
              <w:t>前置USB接口支持Android系统、Windows系统读取外接移动存储设备。</w:t>
            </w:r>
          </w:p>
          <w:p w14:paraId="74663CD8">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6、</w:t>
            </w:r>
            <w:r>
              <w:rPr>
                <w:rFonts w:hint="eastAsia" w:ascii="宋体" w:hAnsi="宋体" w:eastAsia="宋体" w:cs="宋体"/>
                <w:sz w:val="21"/>
                <w:szCs w:val="21"/>
              </w:rPr>
              <w:t>整机具备前置Type-C接口，支持通过Type-C接口U盘进行文件传输。</w:t>
            </w:r>
          </w:p>
          <w:p w14:paraId="20F3825E">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7、</w:t>
            </w:r>
            <w:r>
              <w:rPr>
                <w:rFonts w:hint="eastAsia" w:ascii="宋体" w:hAnsi="宋体" w:eastAsia="宋体" w:cs="宋体"/>
                <w:sz w:val="21"/>
                <w:szCs w:val="21"/>
              </w:rPr>
              <w:t>★整机内置非独立高清摄像头，摄像头与整机采用一体化设计，无任何可见外接线材及模块化拼接痕迹，未占用整机设备端口。可拍摄4800万像素数的照片，支持输出4K。整机支持输出摄像头视场角≥135度且水平视场角≥120度画面。</w:t>
            </w:r>
            <w:r>
              <w:rPr>
                <w:rFonts w:hint="eastAsia" w:ascii="宋体" w:hAnsi="宋体" w:eastAsia="宋体" w:cs="宋体"/>
                <w:sz w:val="21"/>
                <w:szCs w:val="21"/>
                <w:highlight w:val="none"/>
              </w:rPr>
              <w:t>（提供具有CMA及CNAS认证标识的第三方检测机构权威检测报告）</w:t>
            </w:r>
          </w:p>
          <w:p w14:paraId="2F89E99C">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8、</w:t>
            </w:r>
            <w:r>
              <w:rPr>
                <w:rFonts w:hint="eastAsia" w:ascii="宋体" w:hAnsi="宋体" w:eastAsia="宋体" w:cs="宋体"/>
                <w:sz w:val="21"/>
                <w:szCs w:val="21"/>
              </w:rPr>
              <w:t>具备摄像头工作指示灯，摄像头运行时，有指示灯提示。</w:t>
            </w:r>
          </w:p>
          <w:p w14:paraId="3142BA6D">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9、</w:t>
            </w:r>
            <w:r>
              <w:rPr>
                <w:rFonts w:hint="eastAsia" w:ascii="宋体" w:hAnsi="宋体" w:eastAsia="宋体" w:cs="宋体"/>
                <w:sz w:val="21"/>
                <w:szCs w:val="21"/>
              </w:rPr>
              <w:t>★整机内置8阵列麦克风，采用非独立外扩展形式，不占用整机设备端口，可用于对教室环境音频进行采集，麦克风拾音距离≥12m。</w:t>
            </w:r>
            <w:r>
              <w:rPr>
                <w:rFonts w:hint="eastAsia" w:ascii="宋体" w:hAnsi="宋体" w:eastAsia="宋体" w:cs="宋体"/>
                <w:sz w:val="21"/>
                <w:szCs w:val="21"/>
                <w:highlight w:val="none"/>
              </w:rPr>
              <w:t>（提供具有CMA及CNAS认证标识的第三方检测机构权威检测报告）</w:t>
            </w:r>
          </w:p>
          <w:p w14:paraId="1A0F6F58">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10、</w:t>
            </w:r>
            <w:r>
              <w:rPr>
                <w:rFonts w:hint="eastAsia" w:ascii="宋体" w:hAnsi="宋体" w:eastAsia="宋体" w:cs="宋体"/>
                <w:sz w:val="21"/>
                <w:szCs w:val="21"/>
              </w:rPr>
              <w:t>整机内置2.2声道扬声器，其中20W全频音频单元2个，10W高频音频单元2个，额定总功率不低于60W，有效满足课堂视听需求。</w:t>
            </w:r>
          </w:p>
          <w:p w14:paraId="64A1ECCE">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11、</w:t>
            </w:r>
            <w:r>
              <w:rPr>
                <w:rFonts w:hint="eastAsia" w:ascii="宋体" w:hAnsi="宋体" w:eastAsia="宋体" w:cs="宋体"/>
                <w:sz w:val="21"/>
                <w:szCs w:val="21"/>
              </w:rPr>
              <w:t>整机扬声器在100%音量下，可做到1米处声压级≥88db，10米处声压级≥73dB。</w:t>
            </w:r>
          </w:p>
          <w:p w14:paraId="527300C7">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12、</w:t>
            </w:r>
            <w:r>
              <w:rPr>
                <w:rFonts w:hint="eastAsia" w:ascii="宋体" w:hAnsi="宋体" w:eastAsia="宋体" w:cs="宋体"/>
                <w:sz w:val="21"/>
                <w:szCs w:val="21"/>
              </w:rPr>
              <w:t>整机内置无线网卡，在Android/Windows下可实现Wi-Fi连接、AP热点发射及BT蓝牙连接功能。</w:t>
            </w:r>
          </w:p>
          <w:p w14:paraId="03B848D8">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13、</w:t>
            </w:r>
            <w:r>
              <w:rPr>
                <w:rFonts w:hint="eastAsia" w:ascii="宋体" w:hAnsi="宋体" w:eastAsia="宋体" w:cs="宋体"/>
                <w:sz w:val="21"/>
                <w:szCs w:val="21"/>
              </w:rPr>
              <w:t>★Wi-Fi制式支持IEEE 802.11 a/b/g/n/ac/ax，支持版本Wi-Fi6。</w:t>
            </w:r>
          </w:p>
          <w:p w14:paraId="1A3E043A">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14、</w:t>
            </w:r>
            <w:r>
              <w:rPr>
                <w:rFonts w:hint="eastAsia" w:ascii="宋体" w:hAnsi="宋体" w:eastAsia="宋体" w:cs="宋体"/>
                <w:sz w:val="21"/>
                <w:szCs w:val="21"/>
              </w:rPr>
              <w:t>Wi-Fi和AP热点工作距离≥12m。</w:t>
            </w:r>
          </w:p>
          <w:p w14:paraId="47C2E8A8">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15、</w:t>
            </w:r>
            <w:r>
              <w:rPr>
                <w:rFonts w:hint="eastAsia" w:ascii="宋体" w:hAnsi="宋体" w:eastAsia="宋体" w:cs="宋体"/>
                <w:sz w:val="21"/>
                <w:szCs w:val="21"/>
              </w:rPr>
              <w:t>部署单根网线可实现Android、Windows双系统有线网络连通。</w:t>
            </w:r>
          </w:p>
          <w:p w14:paraId="70D59B48">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16、</w:t>
            </w:r>
            <w:r>
              <w:rPr>
                <w:rFonts w:hint="eastAsia" w:ascii="宋体" w:hAnsi="宋体" w:eastAsia="宋体" w:cs="宋体"/>
                <w:sz w:val="21"/>
                <w:szCs w:val="21"/>
              </w:rPr>
              <w:t>★整机支持蓝牙Bluetooth 5.2标准。</w:t>
            </w:r>
          </w:p>
          <w:p w14:paraId="5A4BF630">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17、</w:t>
            </w:r>
            <w:r>
              <w:rPr>
                <w:rFonts w:hint="eastAsia" w:ascii="宋体" w:hAnsi="宋体" w:eastAsia="宋体" w:cs="宋体"/>
                <w:sz w:val="21"/>
                <w:szCs w:val="21"/>
              </w:rPr>
              <w:t>整机无线网络模块支持 2.4GHz/5GHz，一边连 WiFi 上网，一边开热点共享，采用多天线和PIFA天线板载设计，不需要再加外置式天线，大幅提高无线信号接收能力、信号覆盖范围 、传输速率，WIFI最高支持866Mbps数据速率。</w:t>
            </w:r>
          </w:p>
          <w:p w14:paraId="4AAEB79E">
            <w:pPr>
              <w:numPr>
                <w:ilvl w:val="0"/>
                <w:numId w:val="0"/>
              </w:numPr>
              <w:spacing w:line="360" w:lineRule="auto"/>
              <w:ind w:left="0" w:leftChars="0" w:firstLine="0" w:firstLine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18、单独听：手指长按进入熄屏状态下，可进行音频播放，有助于语音类教学学生精力更集中，可按键唤醒，手指长按触屏唤醒。</w:t>
            </w:r>
          </w:p>
          <w:p w14:paraId="1CBB38A9">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19、在任意通道下，可通过手势实现熄屏与唤醒功能，方便老师在课堂上提问、测验等场景应用。</w:t>
            </w:r>
          </w:p>
          <w:p w14:paraId="11021367">
            <w:pPr>
              <w:numPr>
                <w:ilvl w:val="0"/>
                <w:numId w:val="3"/>
              </w:numPr>
              <w:spacing w:line="360" w:lineRule="auto"/>
              <w:rPr>
                <w:rFonts w:hint="eastAsia" w:ascii="宋体" w:hAnsi="宋体" w:eastAsia="宋体" w:cs="宋体"/>
                <w:b/>
                <w:bCs/>
                <w:sz w:val="21"/>
                <w:szCs w:val="21"/>
              </w:rPr>
            </w:pPr>
            <w:r>
              <w:rPr>
                <w:rFonts w:hint="eastAsia" w:ascii="宋体" w:hAnsi="宋体" w:eastAsia="宋体" w:cs="宋体"/>
                <w:b/>
                <w:bCs/>
                <w:sz w:val="21"/>
                <w:szCs w:val="21"/>
              </w:rPr>
              <w:t>触控系统</w:t>
            </w:r>
          </w:p>
          <w:p w14:paraId="11B353E2">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z w:val="21"/>
                <w:szCs w:val="21"/>
              </w:rPr>
              <w:t>★整机采用电容触控方式，支持Windows系统中进行40点或以上触控，支持在Android系统中进行40点或以上触控。</w:t>
            </w:r>
            <w:r>
              <w:rPr>
                <w:rFonts w:hint="eastAsia" w:ascii="宋体" w:hAnsi="宋体" w:eastAsia="宋体" w:cs="宋体"/>
                <w:sz w:val="21"/>
                <w:szCs w:val="21"/>
                <w:highlight w:val="none"/>
              </w:rPr>
              <w:t>（提供具有CMA及CNAS认证标识的第三方检测机构权威检测报告）</w:t>
            </w:r>
          </w:p>
          <w:p w14:paraId="54CB65CE">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 w:val="21"/>
                <w:szCs w:val="21"/>
              </w:rPr>
              <w:t>触摸分辨率32768×32768。</w:t>
            </w:r>
          </w:p>
          <w:p w14:paraId="3FA30474">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3、</w:t>
            </w:r>
            <w:r>
              <w:rPr>
                <w:rFonts w:hint="eastAsia" w:ascii="宋体" w:hAnsi="宋体" w:eastAsia="宋体" w:cs="宋体"/>
                <w:sz w:val="21"/>
                <w:szCs w:val="21"/>
              </w:rPr>
              <w:t>为保证整机触控流畅性，连续触控时，连续的两次触控点检测时间间隔≤5ms，最小识别物≤3mm，触摸精度±0.5mm。</w:t>
            </w:r>
          </w:p>
          <w:p w14:paraId="736F5225">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4、</w:t>
            </w:r>
            <w:r>
              <w:rPr>
                <w:rFonts w:hint="eastAsia" w:ascii="宋体" w:hAnsi="宋体" w:eastAsia="宋体" w:cs="宋体"/>
                <w:sz w:val="21"/>
                <w:szCs w:val="21"/>
              </w:rPr>
              <w:t>整机屏幕触摸有效识别高度不超过3mm，即触摸物体距离玻璃外表面高度不超过3mm时，触摸屏识别为点击操作。</w:t>
            </w:r>
          </w:p>
          <w:p w14:paraId="66E313AF">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5、</w:t>
            </w:r>
            <w:r>
              <w:rPr>
                <w:rFonts w:hint="eastAsia" w:ascii="宋体" w:hAnsi="宋体" w:eastAsia="宋体" w:cs="宋体"/>
                <w:sz w:val="21"/>
                <w:szCs w:val="21"/>
              </w:rPr>
              <w:t>整机支持HID 免驱协议，Windows7/8/10/Mac OS/Linux/国产化系统下，自动识别，无需额外安装驱动程序。</w:t>
            </w:r>
          </w:p>
          <w:p w14:paraId="23DAEDD2">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kern w:val="2"/>
                <w:sz w:val="21"/>
                <w:szCs w:val="21"/>
                <w:lang w:val="en-US" w:eastAsia="zh-CN" w:bidi="ar-SA"/>
              </w:rPr>
              <w:t>6、</w:t>
            </w:r>
            <w:r>
              <w:rPr>
                <w:rFonts w:hint="eastAsia" w:ascii="宋体" w:hAnsi="宋体" w:eastAsia="宋体" w:cs="宋体"/>
                <w:sz w:val="21"/>
                <w:szCs w:val="21"/>
              </w:rPr>
              <w:t>具备抗强光干扰，触摸屏在照度≥400K LUX（勒克司）环境下仍能正常工作。</w:t>
            </w:r>
          </w:p>
          <w:p w14:paraId="07FD3AB4">
            <w:pPr>
              <w:numPr>
                <w:ilvl w:val="0"/>
                <w:numId w:val="3"/>
              </w:numPr>
              <w:spacing w:line="360" w:lineRule="auto"/>
              <w:rPr>
                <w:rFonts w:hint="eastAsia" w:ascii="宋体" w:hAnsi="宋体" w:eastAsia="宋体" w:cs="宋体"/>
                <w:b/>
                <w:bCs/>
                <w:sz w:val="21"/>
                <w:szCs w:val="21"/>
              </w:rPr>
            </w:pPr>
            <w:r>
              <w:rPr>
                <w:rFonts w:hint="eastAsia" w:ascii="宋体" w:hAnsi="宋体" w:eastAsia="宋体" w:cs="宋体"/>
                <w:b/>
                <w:bCs/>
                <w:sz w:val="21"/>
                <w:szCs w:val="21"/>
              </w:rPr>
              <w:t>安卓系统</w:t>
            </w:r>
          </w:p>
          <w:p w14:paraId="0DF64FEB">
            <w:pPr>
              <w:numPr>
                <w:ilvl w:val="0"/>
                <w:numId w:val="4"/>
              </w:numPr>
              <w:spacing w:line="360" w:lineRule="auto"/>
              <w:rPr>
                <w:rFonts w:hint="eastAsia" w:ascii="宋体" w:hAnsi="宋体" w:eastAsia="宋体" w:cs="宋体"/>
                <w:sz w:val="21"/>
                <w:szCs w:val="21"/>
              </w:rPr>
            </w:pPr>
            <w:r>
              <w:rPr>
                <w:rFonts w:hint="eastAsia" w:ascii="宋体" w:hAnsi="宋体" w:eastAsia="宋体" w:cs="宋体"/>
                <w:sz w:val="21"/>
                <w:szCs w:val="21"/>
              </w:rPr>
              <w:t>★内置安卓嵌入式系统，Android14.0版本，具备8核CPU，4核GPU。机身内存32G ROM，运行内存4G RAM。</w:t>
            </w:r>
            <w:r>
              <w:rPr>
                <w:rFonts w:hint="eastAsia" w:ascii="宋体" w:hAnsi="宋体" w:eastAsia="宋体" w:cs="宋体"/>
                <w:sz w:val="21"/>
                <w:szCs w:val="21"/>
                <w:highlight w:val="none"/>
              </w:rPr>
              <w:t>（提供具有CMA及CNAS认证标识的第三方检测机构权威检测报告）</w:t>
            </w:r>
          </w:p>
          <w:p w14:paraId="377859AC">
            <w:pPr>
              <w:numPr>
                <w:ilvl w:val="0"/>
                <w:numId w:val="4"/>
              </w:numPr>
              <w:spacing w:line="360" w:lineRule="auto"/>
              <w:rPr>
                <w:rFonts w:hint="eastAsia" w:ascii="宋体" w:hAnsi="宋体" w:eastAsia="宋体" w:cs="宋体"/>
                <w:sz w:val="21"/>
                <w:szCs w:val="21"/>
              </w:rPr>
            </w:pPr>
            <w:r>
              <w:rPr>
                <w:rFonts w:hint="eastAsia" w:ascii="宋体" w:hAnsi="宋体" w:eastAsia="宋体" w:cs="宋体"/>
                <w:sz w:val="21"/>
                <w:szCs w:val="21"/>
              </w:rPr>
              <w:t>整机嵌入式安卓系统下主界面、菜单、图标、文字均为4K超高清显示，显示细腻、清晰度高。</w:t>
            </w:r>
          </w:p>
          <w:p w14:paraId="1066A153">
            <w:pPr>
              <w:numPr>
                <w:ilvl w:val="0"/>
                <w:numId w:val="4"/>
              </w:numPr>
              <w:spacing w:line="360" w:lineRule="auto"/>
              <w:rPr>
                <w:rFonts w:hint="eastAsia" w:ascii="宋体" w:hAnsi="宋体" w:eastAsia="宋体" w:cs="宋体"/>
                <w:sz w:val="21"/>
                <w:szCs w:val="21"/>
              </w:rPr>
            </w:pPr>
            <w:r>
              <w:rPr>
                <w:rFonts w:hint="eastAsia" w:ascii="宋体" w:hAnsi="宋体" w:eastAsia="宋体" w:cs="宋体"/>
                <w:sz w:val="21"/>
                <w:szCs w:val="21"/>
              </w:rPr>
              <w:t>嵌入式Android操作系统下，白板支持一键开启分屏模式，可选择二等分屏、三等分屏、四等分屏等布局模式，不同分屏可同时进行独立操作，支持不同颜色笔迹同时书写及边写边擦等功能。</w:t>
            </w:r>
          </w:p>
          <w:p w14:paraId="611F64BA">
            <w:pPr>
              <w:spacing w:line="360" w:lineRule="auto"/>
              <w:ind w:firstLine="0"/>
              <w:rPr>
                <w:rFonts w:hint="eastAsia" w:ascii="宋体" w:hAnsi="宋体" w:eastAsia="宋体" w:cs="宋体"/>
                <w:b/>
                <w:bCs/>
                <w:color w:val="auto"/>
                <w:kern w:val="2"/>
                <w:sz w:val="21"/>
                <w:szCs w:val="21"/>
              </w:rPr>
            </w:pPr>
            <w:r>
              <w:rPr>
                <w:rFonts w:hint="eastAsia" w:ascii="宋体" w:hAnsi="宋体" w:eastAsia="宋体" w:cs="宋体"/>
                <w:b/>
                <w:bCs/>
                <w:color w:val="auto"/>
                <w:kern w:val="2"/>
                <w:sz w:val="21"/>
                <w:szCs w:val="21"/>
              </w:rPr>
              <w:t>五、内置电脑</w:t>
            </w:r>
          </w:p>
          <w:p w14:paraId="34ADB788">
            <w:pPr>
              <w:spacing w:line="360" w:lineRule="auto"/>
              <w:ind w:firstLine="0"/>
              <w:rPr>
                <w:rFonts w:hint="eastAsia" w:ascii="宋体" w:hAnsi="宋体" w:eastAsia="宋体" w:cs="宋体"/>
                <w:sz w:val="21"/>
                <w:szCs w:val="21"/>
              </w:rPr>
            </w:pPr>
            <w:r>
              <w:rPr>
                <w:rFonts w:hint="eastAsia" w:ascii="宋体" w:hAnsi="宋体" w:eastAsia="宋体" w:cs="宋体"/>
                <w:color w:val="auto"/>
                <w:kern w:val="2"/>
                <w:sz w:val="21"/>
                <w:szCs w:val="21"/>
              </w:rPr>
              <w:t>1、一体机采用抽拉式模块化电脑，采用标准 JAE-80PIN 连接器件模块化设计，标准80针接口，外部无任何连线，支持快速拆卸。</w:t>
            </w:r>
          </w:p>
          <w:p w14:paraId="432F28DF">
            <w:pPr>
              <w:spacing w:line="360" w:lineRule="auto"/>
              <w:rPr>
                <w:rFonts w:hint="eastAsia" w:ascii="宋体" w:hAnsi="宋体" w:eastAsia="宋体" w:cs="宋体"/>
                <w:sz w:val="21"/>
                <w:szCs w:val="21"/>
                <w:vertAlign w:val="baseline"/>
              </w:rPr>
            </w:pPr>
            <w:r>
              <w:rPr>
                <w:rFonts w:hint="eastAsia" w:ascii="宋体" w:hAnsi="宋体" w:eastAsia="宋体" w:cs="宋体"/>
                <w:color w:val="auto"/>
                <w:kern w:val="2"/>
                <w:sz w:val="21"/>
                <w:szCs w:val="21"/>
              </w:rPr>
              <w:t>2、CPU</w:t>
            </w:r>
            <w:r>
              <w:rPr>
                <w:rFonts w:hint="eastAsia" w:ascii="宋体" w:hAnsi="宋体" w:eastAsia="宋体" w:cs="宋体"/>
                <w:color w:val="auto"/>
                <w:kern w:val="2"/>
                <w:sz w:val="21"/>
                <w:szCs w:val="21"/>
                <w:lang w:val="en-US" w:eastAsia="zh-CN"/>
              </w:rPr>
              <w:t>≥</w:t>
            </w:r>
            <w:r>
              <w:rPr>
                <w:rFonts w:hint="eastAsia" w:ascii="宋体" w:hAnsi="宋体" w:eastAsia="宋体" w:cs="宋体"/>
                <w:color w:val="auto"/>
                <w:kern w:val="2"/>
                <w:sz w:val="21"/>
                <w:szCs w:val="21"/>
              </w:rPr>
              <w:t>INTEL I5-12代；内存</w:t>
            </w:r>
            <w:r>
              <w:rPr>
                <w:rFonts w:hint="eastAsia" w:ascii="宋体" w:hAnsi="宋体" w:eastAsia="宋体" w:cs="宋体"/>
                <w:color w:val="auto"/>
                <w:kern w:val="2"/>
                <w:sz w:val="21"/>
                <w:szCs w:val="21"/>
                <w:lang w:val="en-US" w:eastAsia="zh-CN"/>
              </w:rPr>
              <w:t>≥</w:t>
            </w:r>
            <w:r>
              <w:rPr>
                <w:rFonts w:hint="eastAsia" w:ascii="宋体" w:hAnsi="宋体" w:eastAsia="宋体" w:cs="宋体"/>
                <w:color w:val="auto"/>
                <w:kern w:val="2"/>
                <w:sz w:val="21"/>
                <w:szCs w:val="21"/>
              </w:rPr>
              <w:t>8G DDR4；固态硬盘</w:t>
            </w:r>
            <w:r>
              <w:rPr>
                <w:rFonts w:hint="eastAsia" w:ascii="宋体" w:hAnsi="宋体" w:eastAsia="宋体" w:cs="宋体"/>
                <w:color w:val="auto"/>
                <w:kern w:val="2"/>
                <w:sz w:val="21"/>
                <w:szCs w:val="21"/>
                <w:lang w:val="en-US" w:eastAsia="zh-CN"/>
              </w:rPr>
              <w:t>≥</w:t>
            </w:r>
            <w:r>
              <w:rPr>
                <w:rFonts w:hint="eastAsia" w:ascii="宋体" w:hAnsi="宋体" w:eastAsia="宋体" w:cs="宋体"/>
                <w:color w:val="auto"/>
                <w:kern w:val="2"/>
                <w:sz w:val="21"/>
                <w:szCs w:val="21"/>
              </w:rPr>
              <w:t>256G SSD固态硬盘； 内置WIFI模块</w:t>
            </w:r>
            <w:r>
              <w:rPr>
                <w:rFonts w:hint="eastAsia" w:ascii="宋体" w:hAnsi="宋体" w:eastAsia="宋体" w:cs="宋体"/>
                <w:color w:val="auto"/>
                <w:kern w:val="2"/>
                <w:sz w:val="21"/>
                <w:szCs w:val="21"/>
                <w:lang w:eastAsia="zh-CN"/>
              </w:rPr>
              <w:t>。</w:t>
            </w:r>
          </w:p>
        </w:tc>
        <w:tc>
          <w:tcPr>
            <w:tcW w:w="730" w:type="dxa"/>
            <w:vAlign w:val="center"/>
          </w:tcPr>
          <w:p w14:paraId="3C24B174">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台</w:t>
            </w:r>
          </w:p>
        </w:tc>
        <w:tc>
          <w:tcPr>
            <w:tcW w:w="647" w:type="dxa"/>
            <w:vAlign w:val="center"/>
          </w:tcPr>
          <w:p w14:paraId="45614F3C">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40</w:t>
            </w:r>
          </w:p>
        </w:tc>
      </w:tr>
      <w:tr w14:paraId="12202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8" w:type="dxa"/>
            <w:vAlign w:val="center"/>
          </w:tcPr>
          <w:p w14:paraId="1B4636F6">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w:t>
            </w:r>
          </w:p>
        </w:tc>
        <w:tc>
          <w:tcPr>
            <w:tcW w:w="1048" w:type="dxa"/>
            <w:vAlign w:val="center"/>
          </w:tcPr>
          <w:p w14:paraId="68CC8711">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视频展台</w:t>
            </w:r>
          </w:p>
        </w:tc>
        <w:tc>
          <w:tcPr>
            <w:tcW w:w="6969" w:type="dxa"/>
          </w:tcPr>
          <w:p w14:paraId="5D4B4F73">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箱体环保材质，耐磨防锈，整机无锐角无利边设计，关注师生安全</w:t>
            </w:r>
            <w:r>
              <w:rPr>
                <w:rFonts w:hint="eastAsia" w:ascii="宋体" w:hAnsi="宋体" w:eastAsia="宋体" w:cs="宋体"/>
                <w:sz w:val="21"/>
                <w:szCs w:val="21"/>
                <w:lang w:eastAsia="zh-CN"/>
              </w:rPr>
              <w:t>；</w:t>
            </w:r>
            <w:r>
              <w:rPr>
                <w:rFonts w:hint="eastAsia" w:ascii="宋体" w:hAnsi="宋体" w:eastAsia="宋体" w:cs="宋体"/>
                <w:sz w:val="21"/>
                <w:szCs w:val="21"/>
              </w:rPr>
              <w:t>内置机械式防盗锁，壁挂式安装。</w:t>
            </w:r>
          </w:p>
          <w:p w14:paraId="1BD6EDBB">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为了延长视频展台摄像头使用寿命保证教学过程中不受光源变化等因素影响，防止镜头频繁聚焦使图像抖动闪烁，导致体验感差，使用</w:t>
            </w:r>
            <w:r>
              <w:rPr>
                <w:rFonts w:hint="eastAsia" w:ascii="宋体" w:hAnsi="宋体" w:eastAsia="宋体" w:cs="宋体"/>
                <w:sz w:val="21"/>
                <w:szCs w:val="21"/>
                <w:lang w:val="en-US" w:eastAsia="zh-CN"/>
              </w:rPr>
              <w:t>不低于</w:t>
            </w:r>
            <w:r>
              <w:rPr>
                <w:rFonts w:hint="eastAsia" w:ascii="宋体" w:hAnsi="宋体" w:eastAsia="宋体" w:cs="宋体"/>
                <w:sz w:val="21"/>
                <w:szCs w:val="21"/>
              </w:rPr>
              <w:t>800万像素的高清定焦镜头拍照，可拍摄&gt;A4画幅。</w:t>
            </w:r>
          </w:p>
          <w:p w14:paraId="762B5393">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★采用USB线进行供电使用;整机自带磨砂均光</w:t>
            </w:r>
            <w:r>
              <w:rPr>
                <w:rFonts w:hint="eastAsia" w:ascii="宋体" w:hAnsi="宋体" w:eastAsia="宋体" w:cs="宋体"/>
                <w:sz w:val="21"/>
                <w:szCs w:val="21"/>
                <w:lang w:eastAsia="zh-CN"/>
              </w:rPr>
              <w:t>罩</w:t>
            </w:r>
            <w:r>
              <w:rPr>
                <w:rFonts w:hint="eastAsia" w:ascii="宋体" w:hAnsi="宋体" w:eastAsia="宋体" w:cs="宋体"/>
                <w:sz w:val="21"/>
                <w:szCs w:val="21"/>
              </w:rPr>
              <w:t>LED10粒补光灯，光线不足时可进行亮度补充，亮度均匀，采用四级触摸调光设计。</w:t>
            </w:r>
          </w:p>
          <w:p w14:paraId="4FAE0A90">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展台软件应用方便，可以与电脑桌面一键自由切换，支持电脑桌面的批注和擦除功能。</w:t>
            </w:r>
          </w:p>
          <w:p w14:paraId="5F2CE2E9">
            <w:pPr>
              <w:numPr>
                <w:ilvl w:val="0"/>
                <w:numId w:val="0"/>
              </w:numPr>
              <w:spacing w:line="360" w:lineRule="auto"/>
              <w:ind w:left="0" w:leftChars="0" w:firstLine="0" w:firstLineChars="0"/>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聚光灯模式，可用于突出和强调重点内容，聚光区域可自由拖动或者以圆形放大展示区域，自带二维码识别功能扫描打开互联网课件链接或内容</w:t>
            </w:r>
            <w:r>
              <w:rPr>
                <w:rFonts w:hint="eastAsia" w:ascii="宋体" w:hAnsi="宋体" w:eastAsia="宋体" w:cs="宋体"/>
                <w:sz w:val="21"/>
                <w:szCs w:val="21"/>
                <w:lang w:eastAsia="zh-CN"/>
              </w:rPr>
              <w:t>；</w:t>
            </w:r>
            <w:r>
              <w:rPr>
                <w:rFonts w:hint="eastAsia" w:ascii="宋体" w:hAnsi="宋体" w:eastAsia="宋体" w:cs="宋体"/>
                <w:sz w:val="21"/>
                <w:szCs w:val="21"/>
              </w:rPr>
              <w:t>故障检测辅助功能，可帮助软件系统一键复原，内置 OCR文字识别，可识别进行文字编辑。</w:t>
            </w:r>
          </w:p>
        </w:tc>
        <w:tc>
          <w:tcPr>
            <w:tcW w:w="730" w:type="dxa"/>
            <w:vAlign w:val="center"/>
          </w:tcPr>
          <w:p w14:paraId="697119EC">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台</w:t>
            </w:r>
          </w:p>
        </w:tc>
        <w:tc>
          <w:tcPr>
            <w:tcW w:w="647" w:type="dxa"/>
            <w:vAlign w:val="center"/>
          </w:tcPr>
          <w:p w14:paraId="4DC0347D">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40</w:t>
            </w:r>
          </w:p>
        </w:tc>
      </w:tr>
      <w:tr w14:paraId="1C2D5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68" w:type="dxa"/>
            <w:vAlign w:val="center"/>
          </w:tcPr>
          <w:p w14:paraId="00B67DCC">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w:t>
            </w:r>
          </w:p>
        </w:tc>
        <w:tc>
          <w:tcPr>
            <w:tcW w:w="1048" w:type="dxa"/>
            <w:vAlign w:val="center"/>
          </w:tcPr>
          <w:p w14:paraId="5938DBA5">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不良信息过滤软件</w:t>
            </w:r>
          </w:p>
        </w:tc>
        <w:tc>
          <w:tcPr>
            <w:tcW w:w="6969" w:type="dxa"/>
          </w:tcPr>
          <w:p w14:paraId="3F77C716">
            <w:pPr>
              <w:numPr>
                <w:ilvl w:val="0"/>
                <w:numId w:val="5"/>
              </w:numPr>
              <w:spacing w:line="360" w:lineRule="auto"/>
              <w:ind w:firstLine="0"/>
              <w:jc w:val="left"/>
              <w:rPr>
                <w:rFonts w:hint="eastAsia" w:ascii="宋体" w:hAnsi="宋体" w:eastAsia="宋体" w:cs="宋体"/>
                <w:sz w:val="21"/>
                <w:szCs w:val="21"/>
              </w:rPr>
            </w:pPr>
            <w:r>
              <w:rPr>
                <w:rFonts w:hint="eastAsia" w:ascii="宋体" w:hAnsi="宋体" w:eastAsia="宋体" w:cs="宋体"/>
                <w:sz w:val="21"/>
                <w:szCs w:val="21"/>
              </w:rPr>
              <w:t>产品支持对终端系统广告弹窗实时进行内容及特征分析，并对包含低俗信息的广告弹窗进行</w:t>
            </w:r>
            <w:r>
              <w:rPr>
                <w:rFonts w:hint="eastAsia" w:ascii="宋体" w:hAnsi="宋体" w:eastAsia="宋体" w:cs="宋体"/>
                <w:sz w:val="21"/>
                <w:szCs w:val="21"/>
                <w:lang w:eastAsia="zh-CN"/>
              </w:rPr>
              <w:t>拦截</w:t>
            </w:r>
            <w:r>
              <w:rPr>
                <w:rFonts w:hint="eastAsia" w:ascii="宋体" w:hAnsi="宋体" w:eastAsia="宋体" w:cs="宋体"/>
                <w:sz w:val="21"/>
                <w:szCs w:val="21"/>
              </w:rPr>
              <w:t>处理，全面护航教学设备绿色上网，保障教师的正常授课环境。</w:t>
            </w:r>
          </w:p>
          <w:p w14:paraId="58116065">
            <w:pPr>
              <w:numPr>
                <w:ilvl w:val="0"/>
                <w:numId w:val="5"/>
              </w:numPr>
              <w:spacing w:line="360" w:lineRule="auto"/>
              <w:ind w:firstLine="0"/>
              <w:jc w:val="left"/>
              <w:rPr>
                <w:rFonts w:hint="eastAsia" w:ascii="宋体" w:hAnsi="宋体" w:eastAsia="宋体" w:cs="宋体"/>
                <w:sz w:val="21"/>
                <w:szCs w:val="21"/>
              </w:rPr>
            </w:pPr>
            <w:r>
              <w:rPr>
                <w:rFonts w:hint="eastAsia" w:ascii="宋体" w:hAnsi="宋体" w:eastAsia="宋体" w:cs="宋体"/>
                <w:sz w:val="21"/>
                <w:szCs w:val="21"/>
              </w:rPr>
              <w:t>★产品对网上内容进行实时分析，并通过网址过滤、关键字过滤、图像过滤针对网上内容中包括的不良信息访问进行实时拦截；识别策略支持高、中、低级别设置；产品支持用户手动设置黑、白名单及关键字及进程黑名单（需提供图像过滤策略设置截图、网址过滤策略设置截图及手动设置黑、白名单、关键字截图证明文件或产品功能检测报告加盖厂家或者投标人公章）</w:t>
            </w:r>
          </w:p>
          <w:p w14:paraId="445851B3">
            <w:pPr>
              <w:numPr>
                <w:ilvl w:val="0"/>
                <w:numId w:val="5"/>
              </w:numPr>
              <w:spacing w:line="360" w:lineRule="auto"/>
              <w:ind w:firstLine="0"/>
              <w:jc w:val="left"/>
              <w:rPr>
                <w:rFonts w:hint="eastAsia" w:ascii="宋体" w:hAnsi="宋体" w:eastAsia="宋体" w:cs="宋体"/>
                <w:sz w:val="21"/>
                <w:szCs w:val="21"/>
              </w:rPr>
            </w:pPr>
            <w:r>
              <w:rPr>
                <w:rFonts w:hint="eastAsia" w:ascii="宋体" w:hAnsi="宋体" w:eastAsia="宋体" w:cs="宋体"/>
                <w:sz w:val="21"/>
                <w:szCs w:val="21"/>
              </w:rPr>
              <w:t>产品支持对终端运行的在线游戏进行策略分析并实时阻止游戏站点访问。</w:t>
            </w:r>
          </w:p>
          <w:p w14:paraId="7089ED98">
            <w:pPr>
              <w:numPr>
                <w:ilvl w:val="0"/>
                <w:numId w:val="5"/>
              </w:numPr>
              <w:spacing w:line="360" w:lineRule="auto"/>
              <w:ind w:firstLine="0"/>
              <w:jc w:val="left"/>
              <w:rPr>
                <w:rFonts w:hint="eastAsia" w:ascii="宋体" w:hAnsi="宋体" w:eastAsia="宋体" w:cs="宋体"/>
                <w:sz w:val="21"/>
                <w:szCs w:val="21"/>
              </w:rPr>
            </w:pPr>
            <w:r>
              <w:rPr>
                <w:rFonts w:hint="eastAsia" w:ascii="宋体" w:hAnsi="宋体" w:eastAsia="宋体" w:cs="宋体"/>
                <w:sz w:val="21"/>
                <w:szCs w:val="21"/>
              </w:rPr>
              <w:t>★产品具备对教学设备使用时间进行管理的功能，根据策略限制终端使用时间并进行必要的提示及设备处置，安全、合理使用设备以保护青少年防止网络沉迷（需提供设备使用时间策略设置功能及终端设置限制使用时间截图证明文件并加盖厂家或者投标人公章）</w:t>
            </w:r>
          </w:p>
          <w:p w14:paraId="6E48F03C">
            <w:pPr>
              <w:numPr>
                <w:ilvl w:val="0"/>
                <w:numId w:val="5"/>
              </w:numPr>
              <w:spacing w:line="360" w:lineRule="auto"/>
              <w:ind w:firstLine="0"/>
              <w:jc w:val="left"/>
              <w:rPr>
                <w:rFonts w:hint="eastAsia" w:ascii="宋体" w:hAnsi="宋体" w:eastAsia="宋体" w:cs="宋体"/>
                <w:sz w:val="21"/>
                <w:szCs w:val="21"/>
              </w:rPr>
            </w:pPr>
            <w:r>
              <w:rPr>
                <w:rFonts w:hint="eastAsia" w:ascii="宋体" w:hAnsi="宋体" w:eastAsia="宋体" w:cs="宋体"/>
                <w:sz w:val="21"/>
                <w:szCs w:val="21"/>
              </w:rPr>
              <w:t>产品自身包含黑、白名单及关键字资源，并支持用户自定义过滤策略，用户自定义策略优先级最高。</w:t>
            </w:r>
          </w:p>
          <w:p w14:paraId="4239F268">
            <w:pPr>
              <w:numPr>
                <w:ilvl w:val="0"/>
                <w:numId w:val="5"/>
              </w:numPr>
              <w:spacing w:line="360" w:lineRule="auto"/>
              <w:ind w:firstLine="0"/>
              <w:jc w:val="left"/>
              <w:rPr>
                <w:rFonts w:hint="eastAsia" w:ascii="宋体" w:hAnsi="宋体" w:eastAsia="宋体" w:cs="宋体"/>
                <w:sz w:val="21"/>
                <w:szCs w:val="21"/>
              </w:rPr>
            </w:pPr>
            <w:r>
              <w:rPr>
                <w:rFonts w:hint="eastAsia" w:ascii="宋体" w:hAnsi="宋体" w:eastAsia="宋体" w:cs="宋体"/>
                <w:sz w:val="21"/>
                <w:szCs w:val="21"/>
              </w:rPr>
              <w:t>产品提供日志管理功能，实时记录上网浏览信息及浏览时间</w:t>
            </w:r>
            <w:r>
              <w:rPr>
                <w:rFonts w:hint="eastAsia" w:ascii="宋体" w:hAnsi="宋体" w:eastAsia="宋体" w:cs="宋体"/>
                <w:sz w:val="21"/>
                <w:szCs w:val="21"/>
                <w:lang w:eastAsia="zh-CN"/>
              </w:rPr>
              <w:t>，以及</w:t>
            </w:r>
            <w:r>
              <w:rPr>
                <w:rFonts w:hint="eastAsia" w:ascii="宋体" w:hAnsi="宋体" w:eastAsia="宋体" w:cs="宋体"/>
                <w:sz w:val="21"/>
                <w:szCs w:val="21"/>
              </w:rPr>
              <w:t>不良信息访问及过滤记录；产品支持按策略进行屏幕记录，详细记录设备使用过程（需提供日志分类查看功能及日志管理功能截图证明文件并加盖厂家或者投标人公章）</w:t>
            </w:r>
          </w:p>
          <w:p w14:paraId="5E319E22">
            <w:pPr>
              <w:numPr>
                <w:ilvl w:val="0"/>
                <w:numId w:val="5"/>
              </w:numPr>
              <w:spacing w:line="360" w:lineRule="auto"/>
              <w:ind w:firstLine="0"/>
              <w:jc w:val="left"/>
              <w:rPr>
                <w:rFonts w:hint="eastAsia" w:ascii="宋体" w:hAnsi="宋体" w:eastAsia="宋体" w:cs="宋体"/>
                <w:sz w:val="21"/>
                <w:szCs w:val="21"/>
              </w:rPr>
            </w:pPr>
            <w:r>
              <w:rPr>
                <w:rFonts w:hint="eastAsia" w:ascii="宋体" w:hAnsi="宋体" w:eastAsia="宋体" w:cs="宋体"/>
                <w:sz w:val="21"/>
                <w:szCs w:val="21"/>
              </w:rPr>
              <w:t>产品需提供管理员及普通权限，管理权限可对软件进行统一管理操作及卸载，产品支持管理员及学生角色对应策略实时切换实时升效。</w:t>
            </w:r>
          </w:p>
          <w:p w14:paraId="65AF64E2">
            <w:pPr>
              <w:numPr>
                <w:ilvl w:val="0"/>
                <w:numId w:val="0"/>
              </w:numPr>
              <w:spacing w:line="360" w:lineRule="auto"/>
              <w:ind w:left="0" w:leftChars="0" w:firstLine="0" w:firstLineChars="0"/>
              <w:rPr>
                <w:rFonts w:hint="eastAsia" w:ascii="宋体" w:hAnsi="宋体" w:eastAsia="宋体" w:cs="宋体"/>
                <w:sz w:val="21"/>
                <w:szCs w:val="21"/>
                <w:lang w:val="en-US" w:eastAsia="zh-CN"/>
              </w:rPr>
            </w:pPr>
            <w:r>
              <w:rPr>
                <w:rFonts w:hint="eastAsia" w:ascii="宋体" w:hAnsi="宋体" w:eastAsia="宋体" w:cs="宋体"/>
                <w:sz w:val="21"/>
                <w:szCs w:val="21"/>
              </w:rPr>
              <w:t>产品最高支持到WIN11操作系统，支持32及64位系统，产品支持运行在无盘和有盘环境下，并支持云桌面系统运行。</w:t>
            </w:r>
            <w:r>
              <w:rPr>
                <w:rFonts w:hint="eastAsia" w:ascii="宋体" w:hAnsi="宋体" w:eastAsia="宋体" w:cs="宋体"/>
                <w:sz w:val="21"/>
                <w:szCs w:val="21"/>
                <w:lang w:val="en-US" w:eastAsia="zh-CN"/>
              </w:rPr>
              <w:t> </w:t>
            </w:r>
          </w:p>
        </w:tc>
        <w:tc>
          <w:tcPr>
            <w:tcW w:w="730" w:type="dxa"/>
            <w:vAlign w:val="center"/>
          </w:tcPr>
          <w:p w14:paraId="3E7B0426">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套</w:t>
            </w:r>
          </w:p>
        </w:tc>
        <w:tc>
          <w:tcPr>
            <w:tcW w:w="647" w:type="dxa"/>
            <w:vAlign w:val="center"/>
          </w:tcPr>
          <w:p w14:paraId="724C2F5D">
            <w:pPr>
              <w:spacing w:line="36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40</w:t>
            </w:r>
          </w:p>
        </w:tc>
      </w:tr>
    </w:tbl>
    <w:p w14:paraId="29EE6858">
      <w:pPr>
        <w:spacing w:after="120" w:line="312" w:lineRule="auto"/>
        <w:rPr>
          <w:rFonts w:hint="eastAsia" w:ascii="宋体" w:hAnsi="宋体" w:cs="宋体"/>
          <w:sz w:val="21"/>
          <w:szCs w:val="21"/>
        </w:rPr>
      </w:pPr>
    </w:p>
    <w:p w14:paraId="598F7AAC">
      <w:pPr>
        <w:spacing w:after="120" w:line="312" w:lineRule="auto"/>
        <w:ind w:firstLine="420" w:firstLineChars="200"/>
        <w:rPr>
          <w:rFonts w:hint="eastAsia" w:ascii="宋体" w:hAnsi="宋体" w:cs="宋体"/>
          <w:sz w:val="21"/>
          <w:szCs w:val="21"/>
        </w:rPr>
      </w:pPr>
      <w:r>
        <w:rPr>
          <w:rFonts w:hint="eastAsia" w:ascii="宋体" w:hAnsi="宋体" w:cs="宋体"/>
          <w:sz w:val="21"/>
          <w:szCs w:val="21"/>
        </w:rPr>
        <w:t>备注：以上技术要求是满足本项目采购的基本要求，如有与某项产品参数指标描述相同，并非特指，仅为采购货物功能、性能、质量、档次、水平的参照，各投标人可根据实际情况投报符合采购要求或优于采购要求的产品。如因此次安装需拆除校区原设备（一体机等）由此产生的费</w:t>
      </w:r>
      <w:r>
        <w:rPr>
          <w:rFonts w:hint="eastAsia" w:ascii="宋体" w:hAnsi="宋体" w:cs="宋体"/>
          <w:sz w:val="21"/>
          <w:szCs w:val="21"/>
          <w:lang w:eastAsia="zh-CN"/>
        </w:rPr>
        <w:t>用由</w:t>
      </w:r>
      <w:r>
        <w:rPr>
          <w:rFonts w:hint="eastAsia" w:ascii="宋体" w:hAnsi="宋体" w:cs="宋体"/>
          <w:sz w:val="21"/>
          <w:szCs w:val="21"/>
        </w:rPr>
        <w:t>中标单位承担。</w:t>
      </w:r>
    </w:p>
    <w:p w14:paraId="20C3317C">
      <w:pPr>
        <w:widowControl/>
        <w:jc w:val="left"/>
      </w:pPr>
    </w:p>
    <w:sectPr>
      <w:pgSz w:w="11900" w:h="16840"/>
      <w:pgMar w:top="1440" w:right="1080" w:bottom="1440" w:left="1080" w:header="0" w:footer="1134"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苹方-简 常规体">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AE8C4">
    <w:pPr>
      <w:tabs>
        <w:tab w:val="center" w:pos="4121"/>
      </w:tabs>
      <w:rPr>
        <w:b/>
        <w:i/>
        <w:iCs/>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3903E">
    <w:pPr>
      <w:pStyle w:val="2"/>
      <w:tabs>
        <w:tab w:val="clear" w:pos="4153"/>
      </w:tabs>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60930">
    <w:pPr>
      <w:tabs>
        <w:tab w:val="center" w:pos="4121"/>
      </w:tabs>
      <w:rPr>
        <w:b/>
        <w:i/>
        <w:iCs/>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79E8B">
    <w:pPr>
      <w:pStyle w:val="2"/>
      <w:tabs>
        <w:tab w:val="clear" w:pos="4153"/>
      </w:tabs>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3D242D4">
                          <w:pPr>
                            <w:pStyle w:val="2"/>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wps:txbx>
                    <wps:bodyPr vert="horz" wrap="none" lIns="0" tIns="0" rIns="0" bIns="0" anchor="t">
                      <a:spAutoFit/>
                    </wps:bodyPr>
                  </wps:wsp>
                </a:graphicData>
              </a:graphic>
            </wp:anchor>
          </w:drawing>
        </mc:Choice>
        <mc:Fallback>
          <w:pict>
            <v:rect id="文本框 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MHauqPKAQAAkgMAAA4AAAAAAAAAAQAgAAAAHwEAAGRycy9lMm9E&#10;b2MueG1sUEsFBgAAAAAGAAYAWQEAAFsFAAAAAA==&#10;">
              <v:fill on="f" focussize="0,0"/>
              <v:stroke on="f"/>
              <v:imagedata o:title=""/>
              <o:lock v:ext="edit" aspectratio="f"/>
              <v:textbox inset="0mm,0mm,0mm,0mm" style="mso-fit-shape-to-text:t;">
                <w:txbxContent>
                  <w:p w14:paraId="03D242D4">
                    <w:pPr>
                      <w:pStyle w:val="2"/>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v:textbox>
            </v:rect>
          </w:pict>
        </mc:Fallback>
      </mc:AlternateConten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11741976"/>
    </w:sdtPr>
    <w:sdtContent>
      <w:p w14:paraId="115AA6B1">
        <w:pPr>
          <w:pStyle w:val="2"/>
          <w:jc w:val="center"/>
        </w:pPr>
        <w:r>
          <w:fldChar w:fldCharType="begin"/>
        </w:r>
        <w:r>
          <w:instrText xml:space="preserve">PAGE   \* MERGEFORMAT</w:instrText>
        </w:r>
        <w:r>
          <w:fldChar w:fldCharType="separate"/>
        </w:r>
        <w:r>
          <w:rPr>
            <w:lang w:val="zh-CN"/>
          </w:rPr>
          <w:t>61</w:t>
        </w:r>
        <w:r>
          <w:fldChar w:fldCharType="end"/>
        </w:r>
      </w:p>
    </w:sdtContent>
  </w:sdt>
  <w:p w14:paraId="4174BBEC">
    <w:pPr>
      <w:tabs>
        <w:tab w:val="center" w:pos="4121"/>
      </w:tabs>
      <w:rPr>
        <w:b/>
        <w:i/>
        <w:iCs/>
        <w:sz w:val="21"/>
        <w:szCs w:val="21"/>
        <w:u w:val="single"/>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0045511"/>
    </w:sdtPr>
    <w:sdtContent>
      <w:p w14:paraId="7706264E">
        <w:pPr>
          <w:pStyle w:val="2"/>
          <w:jc w:val="center"/>
        </w:pPr>
        <w:r>
          <w:fldChar w:fldCharType="begin"/>
        </w:r>
        <w:r>
          <w:instrText xml:space="preserve">PAGE   \* MERGEFORMAT</w:instrText>
        </w:r>
        <w:r>
          <w:fldChar w:fldCharType="separate"/>
        </w:r>
        <w:r>
          <w:rPr>
            <w:lang w:val="zh-CN"/>
          </w:rPr>
          <w:t>3</w:t>
        </w:r>
        <w:r>
          <w:fldChar w:fldCharType="end"/>
        </w:r>
      </w:p>
    </w:sdtContent>
  </w:sdt>
  <w:p w14:paraId="22CA0A48">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E3E50">
    <w:pPr>
      <w:pStyle w:val="20"/>
      <w:pBdr>
        <w:bottom w:val="none" w:color="auto" w:sz="0" w:space="1"/>
      </w:pBdr>
      <w:jc w:val="both"/>
      <w:rPr>
        <w:rFonts w:ascii="宋体" w:hAnsi="宋体" w:cs="宋体"/>
        <w:b/>
        <w:i/>
        <w:i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5E1E6">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B78FB"/>
    <w:multiLevelType w:val="singleLevel"/>
    <w:tmpl w:val="B5EB78FB"/>
    <w:lvl w:ilvl="0" w:tentative="0">
      <w:start w:val="1"/>
      <w:numFmt w:val="decimal"/>
      <w:suff w:val="nothing"/>
      <w:lvlText w:val="%1、"/>
      <w:lvlJc w:val="left"/>
    </w:lvl>
  </w:abstractNum>
  <w:abstractNum w:abstractNumId="1">
    <w:nsid w:val="00000002"/>
    <w:multiLevelType w:val="singleLevel"/>
    <w:tmpl w:val="00000002"/>
    <w:lvl w:ilvl="0" w:tentative="0">
      <w:start w:val="1"/>
      <w:numFmt w:val="decimal"/>
      <w:suff w:val="nothing"/>
      <w:lvlText w:val="%1、"/>
      <w:lvlJc w:val="left"/>
      <w:pPr>
        <w:ind w:left="0" w:firstLine="0"/>
      </w:pPr>
    </w:lvl>
  </w:abstractNum>
  <w:abstractNum w:abstractNumId="2">
    <w:nsid w:val="00000005"/>
    <w:multiLevelType w:val="singleLevel"/>
    <w:tmpl w:val="00000005"/>
    <w:lvl w:ilvl="0" w:tentative="0">
      <w:start w:val="1"/>
      <w:numFmt w:val="chineseCounting"/>
      <w:suff w:val="nothing"/>
      <w:lvlText w:val="%1、"/>
      <w:lvlJc w:val="left"/>
      <w:pPr>
        <w:ind w:left="0" w:firstLine="0"/>
      </w:pPr>
    </w:lvl>
  </w:abstractNum>
  <w:abstractNum w:abstractNumId="3">
    <w:nsid w:val="776EF5F3"/>
    <w:multiLevelType w:val="singleLevel"/>
    <w:tmpl w:val="776EF5F3"/>
    <w:lvl w:ilvl="0" w:tentative="0">
      <w:start w:val="4"/>
      <w:numFmt w:val="chineseCounting"/>
      <w:suff w:val="nothing"/>
      <w:lvlText w:val="%1、"/>
      <w:lvlJc w:val="left"/>
      <w:rPr>
        <w:rFonts w:hint="eastAsia"/>
      </w:rPr>
    </w:lvl>
  </w:abstractNum>
  <w:abstractNum w:abstractNumId="4">
    <w:nsid w:val="7E210D2B"/>
    <w:multiLevelType w:val="singleLevel"/>
    <w:tmpl w:val="7E210D2B"/>
    <w:lvl w:ilvl="0" w:tentative="0">
      <w:start w:val="1"/>
      <w:numFmt w:val="decimal"/>
      <w:suff w:val="nothing"/>
      <w:lvlText w:val="（%1）"/>
      <w:lvlJc w:val="left"/>
    </w:lvl>
  </w:abstractNum>
  <w:num w:numId="1">
    <w:abstractNumId w:val="4"/>
  </w:num>
  <w:num w:numId="2">
    <w:abstractNumId w:val="3"/>
  </w:num>
  <w:num w:numId="3">
    <w:abstractNumId w:val="2"/>
    <w:lvlOverride w:ilvl="0">
      <w:startOverride w:val="1"/>
    </w:lvlOverride>
  </w:num>
  <w:num w:numId="4">
    <w:abstractNumId w:val="1"/>
    <w:lvlOverride w:ilvl="0">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lMzBlOTk3OGM4ZDg1MGNiYzQ0MGIxMGMwM2UzZTgifQ=="/>
  </w:docVars>
  <w:rsids>
    <w:rsidRoot w:val="00262473"/>
    <w:rsid w:val="00001BB8"/>
    <w:rsid w:val="00002AFA"/>
    <w:rsid w:val="000046CE"/>
    <w:rsid w:val="00006A26"/>
    <w:rsid w:val="0000785A"/>
    <w:rsid w:val="00007BAD"/>
    <w:rsid w:val="00014BEE"/>
    <w:rsid w:val="0002002F"/>
    <w:rsid w:val="00021254"/>
    <w:rsid w:val="00024792"/>
    <w:rsid w:val="00026119"/>
    <w:rsid w:val="00027AF7"/>
    <w:rsid w:val="00027B4B"/>
    <w:rsid w:val="00030321"/>
    <w:rsid w:val="00030508"/>
    <w:rsid w:val="00032FC3"/>
    <w:rsid w:val="000345E9"/>
    <w:rsid w:val="00036947"/>
    <w:rsid w:val="00040183"/>
    <w:rsid w:val="000443CE"/>
    <w:rsid w:val="00046894"/>
    <w:rsid w:val="00047502"/>
    <w:rsid w:val="00050E72"/>
    <w:rsid w:val="00051823"/>
    <w:rsid w:val="000542EB"/>
    <w:rsid w:val="00054AB1"/>
    <w:rsid w:val="00063155"/>
    <w:rsid w:val="0006607C"/>
    <w:rsid w:val="0006688E"/>
    <w:rsid w:val="00073AD8"/>
    <w:rsid w:val="00076580"/>
    <w:rsid w:val="000775DB"/>
    <w:rsid w:val="00081F16"/>
    <w:rsid w:val="000857C6"/>
    <w:rsid w:val="0008759C"/>
    <w:rsid w:val="00093D25"/>
    <w:rsid w:val="000A5B38"/>
    <w:rsid w:val="000A7739"/>
    <w:rsid w:val="000B6035"/>
    <w:rsid w:val="000C0171"/>
    <w:rsid w:val="000C0BE6"/>
    <w:rsid w:val="000C27FA"/>
    <w:rsid w:val="000C4948"/>
    <w:rsid w:val="000C4CE2"/>
    <w:rsid w:val="000C520E"/>
    <w:rsid w:val="000D0A99"/>
    <w:rsid w:val="000D74B2"/>
    <w:rsid w:val="000E10F1"/>
    <w:rsid w:val="000E2F2B"/>
    <w:rsid w:val="000E5DAE"/>
    <w:rsid w:val="000E5E18"/>
    <w:rsid w:val="000F2957"/>
    <w:rsid w:val="000F3B32"/>
    <w:rsid w:val="000F6208"/>
    <w:rsid w:val="00100B93"/>
    <w:rsid w:val="00102295"/>
    <w:rsid w:val="001029B5"/>
    <w:rsid w:val="00106B1A"/>
    <w:rsid w:val="00107804"/>
    <w:rsid w:val="00107FB5"/>
    <w:rsid w:val="00113304"/>
    <w:rsid w:val="001142CA"/>
    <w:rsid w:val="00120586"/>
    <w:rsid w:val="00120EB6"/>
    <w:rsid w:val="0013224B"/>
    <w:rsid w:val="00132965"/>
    <w:rsid w:val="00141EAF"/>
    <w:rsid w:val="0014693C"/>
    <w:rsid w:val="00147D26"/>
    <w:rsid w:val="00151EAE"/>
    <w:rsid w:val="00162AE5"/>
    <w:rsid w:val="00165A61"/>
    <w:rsid w:val="00167106"/>
    <w:rsid w:val="00173FEE"/>
    <w:rsid w:val="00184412"/>
    <w:rsid w:val="00192EAC"/>
    <w:rsid w:val="001935D8"/>
    <w:rsid w:val="00193E93"/>
    <w:rsid w:val="00194A39"/>
    <w:rsid w:val="00194ABD"/>
    <w:rsid w:val="001A01C7"/>
    <w:rsid w:val="001A2307"/>
    <w:rsid w:val="001B158C"/>
    <w:rsid w:val="001B3A42"/>
    <w:rsid w:val="001C20BC"/>
    <w:rsid w:val="001C51CE"/>
    <w:rsid w:val="001C686C"/>
    <w:rsid w:val="001C714B"/>
    <w:rsid w:val="001C72F3"/>
    <w:rsid w:val="001C7F2A"/>
    <w:rsid w:val="001E31A4"/>
    <w:rsid w:val="001E32FD"/>
    <w:rsid w:val="001E3351"/>
    <w:rsid w:val="001E362A"/>
    <w:rsid w:val="001E78EF"/>
    <w:rsid w:val="001F0800"/>
    <w:rsid w:val="001F5A7A"/>
    <w:rsid w:val="002016A6"/>
    <w:rsid w:val="0020218F"/>
    <w:rsid w:val="00206523"/>
    <w:rsid w:val="00206F51"/>
    <w:rsid w:val="00211289"/>
    <w:rsid w:val="002159F6"/>
    <w:rsid w:val="00216464"/>
    <w:rsid w:val="0022024C"/>
    <w:rsid w:val="00226332"/>
    <w:rsid w:val="00231664"/>
    <w:rsid w:val="00235E97"/>
    <w:rsid w:val="002366D3"/>
    <w:rsid w:val="00236CB7"/>
    <w:rsid w:val="00237A20"/>
    <w:rsid w:val="00243647"/>
    <w:rsid w:val="00244D73"/>
    <w:rsid w:val="00254105"/>
    <w:rsid w:val="00255A9A"/>
    <w:rsid w:val="00257582"/>
    <w:rsid w:val="002579B6"/>
    <w:rsid w:val="00261BB5"/>
    <w:rsid w:val="00262473"/>
    <w:rsid w:val="00262AC3"/>
    <w:rsid w:val="00263BF1"/>
    <w:rsid w:val="0026733E"/>
    <w:rsid w:val="0027153C"/>
    <w:rsid w:val="0027306A"/>
    <w:rsid w:val="00276F12"/>
    <w:rsid w:val="00280664"/>
    <w:rsid w:val="002842DD"/>
    <w:rsid w:val="0029014C"/>
    <w:rsid w:val="002928F7"/>
    <w:rsid w:val="002929AF"/>
    <w:rsid w:val="002A29C2"/>
    <w:rsid w:val="002A605D"/>
    <w:rsid w:val="002A6D41"/>
    <w:rsid w:val="002C0093"/>
    <w:rsid w:val="002C1434"/>
    <w:rsid w:val="002C19F4"/>
    <w:rsid w:val="002D0EB6"/>
    <w:rsid w:val="002D40E0"/>
    <w:rsid w:val="002D577B"/>
    <w:rsid w:val="002D7AD3"/>
    <w:rsid w:val="002E0143"/>
    <w:rsid w:val="002E29A5"/>
    <w:rsid w:val="002E7632"/>
    <w:rsid w:val="002F0821"/>
    <w:rsid w:val="002F1D8A"/>
    <w:rsid w:val="002F3AF1"/>
    <w:rsid w:val="00300025"/>
    <w:rsid w:val="00306565"/>
    <w:rsid w:val="00307503"/>
    <w:rsid w:val="0030757A"/>
    <w:rsid w:val="00307646"/>
    <w:rsid w:val="003129E4"/>
    <w:rsid w:val="003131FC"/>
    <w:rsid w:val="003173A1"/>
    <w:rsid w:val="003242BA"/>
    <w:rsid w:val="00324386"/>
    <w:rsid w:val="0032739A"/>
    <w:rsid w:val="00330446"/>
    <w:rsid w:val="00330A54"/>
    <w:rsid w:val="003331E7"/>
    <w:rsid w:val="00333DD1"/>
    <w:rsid w:val="0033548A"/>
    <w:rsid w:val="00341A65"/>
    <w:rsid w:val="0034718E"/>
    <w:rsid w:val="00347217"/>
    <w:rsid w:val="00347801"/>
    <w:rsid w:val="00350325"/>
    <w:rsid w:val="00350B42"/>
    <w:rsid w:val="00354A8E"/>
    <w:rsid w:val="00356EA0"/>
    <w:rsid w:val="003571E6"/>
    <w:rsid w:val="003615BD"/>
    <w:rsid w:val="0036272F"/>
    <w:rsid w:val="003660C2"/>
    <w:rsid w:val="00370E21"/>
    <w:rsid w:val="00377517"/>
    <w:rsid w:val="00386D14"/>
    <w:rsid w:val="00392BC9"/>
    <w:rsid w:val="003938D9"/>
    <w:rsid w:val="00396006"/>
    <w:rsid w:val="003A0E41"/>
    <w:rsid w:val="003A28A7"/>
    <w:rsid w:val="003A3E4E"/>
    <w:rsid w:val="003A6882"/>
    <w:rsid w:val="003B1A79"/>
    <w:rsid w:val="003B1D46"/>
    <w:rsid w:val="003B3FDE"/>
    <w:rsid w:val="003B544D"/>
    <w:rsid w:val="003B7ADE"/>
    <w:rsid w:val="003B7ED9"/>
    <w:rsid w:val="003C3C83"/>
    <w:rsid w:val="003D477A"/>
    <w:rsid w:val="003D741E"/>
    <w:rsid w:val="003D7E40"/>
    <w:rsid w:val="003E0154"/>
    <w:rsid w:val="003E033E"/>
    <w:rsid w:val="003E39A3"/>
    <w:rsid w:val="003E4292"/>
    <w:rsid w:val="003F14F6"/>
    <w:rsid w:val="003F4781"/>
    <w:rsid w:val="003F48B3"/>
    <w:rsid w:val="003F573C"/>
    <w:rsid w:val="003F6B33"/>
    <w:rsid w:val="004011A0"/>
    <w:rsid w:val="0040178B"/>
    <w:rsid w:val="00404C05"/>
    <w:rsid w:val="00405416"/>
    <w:rsid w:val="0041079F"/>
    <w:rsid w:val="00411FE7"/>
    <w:rsid w:val="00414BD0"/>
    <w:rsid w:val="004171A9"/>
    <w:rsid w:val="00421003"/>
    <w:rsid w:val="00422A74"/>
    <w:rsid w:val="00424B90"/>
    <w:rsid w:val="00430AE0"/>
    <w:rsid w:val="00434DEF"/>
    <w:rsid w:val="004351FD"/>
    <w:rsid w:val="0043557D"/>
    <w:rsid w:val="0043697B"/>
    <w:rsid w:val="004479E5"/>
    <w:rsid w:val="0045241E"/>
    <w:rsid w:val="004616A0"/>
    <w:rsid w:val="004656A7"/>
    <w:rsid w:val="00466899"/>
    <w:rsid w:val="00470FD1"/>
    <w:rsid w:val="004722EC"/>
    <w:rsid w:val="004815F7"/>
    <w:rsid w:val="00481FF1"/>
    <w:rsid w:val="00487FD1"/>
    <w:rsid w:val="00492032"/>
    <w:rsid w:val="00494F24"/>
    <w:rsid w:val="00495121"/>
    <w:rsid w:val="004A0C11"/>
    <w:rsid w:val="004A1F5A"/>
    <w:rsid w:val="004A32ED"/>
    <w:rsid w:val="004A44F7"/>
    <w:rsid w:val="004A5C9A"/>
    <w:rsid w:val="004B0B2D"/>
    <w:rsid w:val="004B0F55"/>
    <w:rsid w:val="004C1D3E"/>
    <w:rsid w:val="004C3BD6"/>
    <w:rsid w:val="004C494B"/>
    <w:rsid w:val="004C7A0D"/>
    <w:rsid w:val="004D31FE"/>
    <w:rsid w:val="004D38AA"/>
    <w:rsid w:val="004E384C"/>
    <w:rsid w:val="004E51AF"/>
    <w:rsid w:val="004F04DB"/>
    <w:rsid w:val="004F1DED"/>
    <w:rsid w:val="004F3E9F"/>
    <w:rsid w:val="0050105A"/>
    <w:rsid w:val="005042FD"/>
    <w:rsid w:val="00510B16"/>
    <w:rsid w:val="00510EBD"/>
    <w:rsid w:val="00511734"/>
    <w:rsid w:val="00514001"/>
    <w:rsid w:val="00516E94"/>
    <w:rsid w:val="00517A1C"/>
    <w:rsid w:val="005214F8"/>
    <w:rsid w:val="005224C7"/>
    <w:rsid w:val="00524D73"/>
    <w:rsid w:val="00526859"/>
    <w:rsid w:val="00533C33"/>
    <w:rsid w:val="00534A40"/>
    <w:rsid w:val="005371F7"/>
    <w:rsid w:val="00537D18"/>
    <w:rsid w:val="00544607"/>
    <w:rsid w:val="005503BE"/>
    <w:rsid w:val="0055141D"/>
    <w:rsid w:val="0055281B"/>
    <w:rsid w:val="005529C6"/>
    <w:rsid w:val="00563A0C"/>
    <w:rsid w:val="005667B5"/>
    <w:rsid w:val="00567811"/>
    <w:rsid w:val="00572BF6"/>
    <w:rsid w:val="0057671A"/>
    <w:rsid w:val="0058101B"/>
    <w:rsid w:val="0058527C"/>
    <w:rsid w:val="00586973"/>
    <w:rsid w:val="00586EBA"/>
    <w:rsid w:val="0058750F"/>
    <w:rsid w:val="00587567"/>
    <w:rsid w:val="005922F3"/>
    <w:rsid w:val="00592854"/>
    <w:rsid w:val="00592BFD"/>
    <w:rsid w:val="005A09EB"/>
    <w:rsid w:val="005A0FED"/>
    <w:rsid w:val="005A1699"/>
    <w:rsid w:val="005A5768"/>
    <w:rsid w:val="005B2EAC"/>
    <w:rsid w:val="005B35F4"/>
    <w:rsid w:val="005B68A6"/>
    <w:rsid w:val="005B6F1E"/>
    <w:rsid w:val="005B756B"/>
    <w:rsid w:val="005C60AF"/>
    <w:rsid w:val="005C675C"/>
    <w:rsid w:val="005D5E53"/>
    <w:rsid w:val="005D70A8"/>
    <w:rsid w:val="005E2854"/>
    <w:rsid w:val="005E3795"/>
    <w:rsid w:val="005E526D"/>
    <w:rsid w:val="005E74C7"/>
    <w:rsid w:val="005F2D38"/>
    <w:rsid w:val="005F40D9"/>
    <w:rsid w:val="005F6769"/>
    <w:rsid w:val="005F7D3A"/>
    <w:rsid w:val="0060393E"/>
    <w:rsid w:val="006171B0"/>
    <w:rsid w:val="00621E6B"/>
    <w:rsid w:val="0062376A"/>
    <w:rsid w:val="006268EA"/>
    <w:rsid w:val="00626B3D"/>
    <w:rsid w:val="00626B4F"/>
    <w:rsid w:val="0062721B"/>
    <w:rsid w:val="00632CED"/>
    <w:rsid w:val="006359B2"/>
    <w:rsid w:val="00635BF4"/>
    <w:rsid w:val="00636153"/>
    <w:rsid w:val="006422DC"/>
    <w:rsid w:val="00644D61"/>
    <w:rsid w:val="006457E5"/>
    <w:rsid w:val="00646D6C"/>
    <w:rsid w:val="00654069"/>
    <w:rsid w:val="006547D0"/>
    <w:rsid w:val="006607C0"/>
    <w:rsid w:val="00661091"/>
    <w:rsid w:val="00661E1C"/>
    <w:rsid w:val="0066242D"/>
    <w:rsid w:val="00666C90"/>
    <w:rsid w:val="00672DDA"/>
    <w:rsid w:val="00675809"/>
    <w:rsid w:val="00680F71"/>
    <w:rsid w:val="00691B7E"/>
    <w:rsid w:val="006929E5"/>
    <w:rsid w:val="00694B98"/>
    <w:rsid w:val="00697721"/>
    <w:rsid w:val="0069781E"/>
    <w:rsid w:val="006A1CF4"/>
    <w:rsid w:val="006A3FB4"/>
    <w:rsid w:val="006A4AF7"/>
    <w:rsid w:val="006A4B58"/>
    <w:rsid w:val="006A511F"/>
    <w:rsid w:val="006A5C23"/>
    <w:rsid w:val="006B465F"/>
    <w:rsid w:val="006B4743"/>
    <w:rsid w:val="006B7B4D"/>
    <w:rsid w:val="006D019E"/>
    <w:rsid w:val="006D2A98"/>
    <w:rsid w:val="006D7081"/>
    <w:rsid w:val="006E1124"/>
    <w:rsid w:val="006E6585"/>
    <w:rsid w:val="006E7D3B"/>
    <w:rsid w:val="006F200B"/>
    <w:rsid w:val="006F22BD"/>
    <w:rsid w:val="006F49F3"/>
    <w:rsid w:val="006F6CED"/>
    <w:rsid w:val="00702DA8"/>
    <w:rsid w:val="0070722E"/>
    <w:rsid w:val="007100D8"/>
    <w:rsid w:val="00714C2D"/>
    <w:rsid w:val="007150CF"/>
    <w:rsid w:val="00717CA7"/>
    <w:rsid w:val="00723A8F"/>
    <w:rsid w:val="00730F54"/>
    <w:rsid w:val="00732417"/>
    <w:rsid w:val="00741145"/>
    <w:rsid w:val="00747478"/>
    <w:rsid w:val="00752D12"/>
    <w:rsid w:val="00753E21"/>
    <w:rsid w:val="00755990"/>
    <w:rsid w:val="00755F92"/>
    <w:rsid w:val="00756366"/>
    <w:rsid w:val="00756810"/>
    <w:rsid w:val="00757752"/>
    <w:rsid w:val="00757A39"/>
    <w:rsid w:val="00763470"/>
    <w:rsid w:val="0076689B"/>
    <w:rsid w:val="007709AF"/>
    <w:rsid w:val="007737C5"/>
    <w:rsid w:val="00776B36"/>
    <w:rsid w:val="007771BA"/>
    <w:rsid w:val="00777BD3"/>
    <w:rsid w:val="00780371"/>
    <w:rsid w:val="00781C53"/>
    <w:rsid w:val="00781D4F"/>
    <w:rsid w:val="007852E6"/>
    <w:rsid w:val="00785FBD"/>
    <w:rsid w:val="007873F2"/>
    <w:rsid w:val="00793FEB"/>
    <w:rsid w:val="0079562F"/>
    <w:rsid w:val="007972FB"/>
    <w:rsid w:val="007A50D1"/>
    <w:rsid w:val="007B2D3D"/>
    <w:rsid w:val="007B3570"/>
    <w:rsid w:val="007B5D3F"/>
    <w:rsid w:val="007B7962"/>
    <w:rsid w:val="007C044A"/>
    <w:rsid w:val="007C5510"/>
    <w:rsid w:val="007D06AC"/>
    <w:rsid w:val="007D2075"/>
    <w:rsid w:val="007D3A39"/>
    <w:rsid w:val="007D61A2"/>
    <w:rsid w:val="007E371D"/>
    <w:rsid w:val="007E5476"/>
    <w:rsid w:val="007F2DAE"/>
    <w:rsid w:val="007F3588"/>
    <w:rsid w:val="007F401B"/>
    <w:rsid w:val="007F4BFD"/>
    <w:rsid w:val="0080233A"/>
    <w:rsid w:val="00802E95"/>
    <w:rsid w:val="00810CB5"/>
    <w:rsid w:val="00813FE5"/>
    <w:rsid w:val="008171EF"/>
    <w:rsid w:val="008208AE"/>
    <w:rsid w:val="00820DF2"/>
    <w:rsid w:val="00830A31"/>
    <w:rsid w:val="0083750B"/>
    <w:rsid w:val="00843348"/>
    <w:rsid w:val="00846966"/>
    <w:rsid w:val="00847F4E"/>
    <w:rsid w:val="0085028A"/>
    <w:rsid w:val="00854168"/>
    <w:rsid w:val="00861FEE"/>
    <w:rsid w:val="00862945"/>
    <w:rsid w:val="00873052"/>
    <w:rsid w:val="008835C6"/>
    <w:rsid w:val="008877E9"/>
    <w:rsid w:val="0089023D"/>
    <w:rsid w:val="008A470E"/>
    <w:rsid w:val="008A7C37"/>
    <w:rsid w:val="008B1170"/>
    <w:rsid w:val="008B223E"/>
    <w:rsid w:val="008B30B1"/>
    <w:rsid w:val="008C09E8"/>
    <w:rsid w:val="008C6B7A"/>
    <w:rsid w:val="008C6DCD"/>
    <w:rsid w:val="008D01AB"/>
    <w:rsid w:val="008D0C7F"/>
    <w:rsid w:val="008D2230"/>
    <w:rsid w:val="008D4008"/>
    <w:rsid w:val="008D6017"/>
    <w:rsid w:val="008E1A43"/>
    <w:rsid w:val="008E3D1D"/>
    <w:rsid w:val="008F0724"/>
    <w:rsid w:val="008F1C0F"/>
    <w:rsid w:val="008F2AB3"/>
    <w:rsid w:val="008F4E03"/>
    <w:rsid w:val="009014D1"/>
    <w:rsid w:val="00903B35"/>
    <w:rsid w:val="00913D08"/>
    <w:rsid w:val="00915336"/>
    <w:rsid w:val="00917E8E"/>
    <w:rsid w:val="00921A45"/>
    <w:rsid w:val="009249FE"/>
    <w:rsid w:val="00932BA9"/>
    <w:rsid w:val="00933F1E"/>
    <w:rsid w:val="0093556F"/>
    <w:rsid w:val="00935DC2"/>
    <w:rsid w:val="009406C1"/>
    <w:rsid w:val="00941EF4"/>
    <w:rsid w:val="0094443B"/>
    <w:rsid w:val="00947C94"/>
    <w:rsid w:val="0095433B"/>
    <w:rsid w:val="0095464D"/>
    <w:rsid w:val="009552F5"/>
    <w:rsid w:val="0095578F"/>
    <w:rsid w:val="00955B64"/>
    <w:rsid w:val="009569C0"/>
    <w:rsid w:val="009608C0"/>
    <w:rsid w:val="009629B5"/>
    <w:rsid w:val="009666E5"/>
    <w:rsid w:val="00967297"/>
    <w:rsid w:val="00971D07"/>
    <w:rsid w:val="00974DE4"/>
    <w:rsid w:val="00974FFC"/>
    <w:rsid w:val="00976B74"/>
    <w:rsid w:val="00976EFB"/>
    <w:rsid w:val="00977E73"/>
    <w:rsid w:val="00981BEC"/>
    <w:rsid w:val="00982F3B"/>
    <w:rsid w:val="00983893"/>
    <w:rsid w:val="009932F0"/>
    <w:rsid w:val="009948C9"/>
    <w:rsid w:val="009960F1"/>
    <w:rsid w:val="009A464D"/>
    <w:rsid w:val="009A5CB9"/>
    <w:rsid w:val="009B14D6"/>
    <w:rsid w:val="009B2722"/>
    <w:rsid w:val="009B2D31"/>
    <w:rsid w:val="009B2FCE"/>
    <w:rsid w:val="009B35A5"/>
    <w:rsid w:val="009B4887"/>
    <w:rsid w:val="009C0D4B"/>
    <w:rsid w:val="009C0DC0"/>
    <w:rsid w:val="009C3056"/>
    <w:rsid w:val="009C5F8A"/>
    <w:rsid w:val="009C7FBC"/>
    <w:rsid w:val="009D3FB1"/>
    <w:rsid w:val="009E2C56"/>
    <w:rsid w:val="009E5E6F"/>
    <w:rsid w:val="009E7C9B"/>
    <w:rsid w:val="009F0C9F"/>
    <w:rsid w:val="009F10B5"/>
    <w:rsid w:val="009F4753"/>
    <w:rsid w:val="009F6477"/>
    <w:rsid w:val="009F7C2E"/>
    <w:rsid w:val="00A000D8"/>
    <w:rsid w:val="00A0024C"/>
    <w:rsid w:val="00A06BB6"/>
    <w:rsid w:val="00A07991"/>
    <w:rsid w:val="00A132F1"/>
    <w:rsid w:val="00A13ED0"/>
    <w:rsid w:val="00A142DF"/>
    <w:rsid w:val="00A162C3"/>
    <w:rsid w:val="00A16F41"/>
    <w:rsid w:val="00A17462"/>
    <w:rsid w:val="00A17606"/>
    <w:rsid w:val="00A22024"/>
    <w:rsid w:val="00A25376"/>
    <w:rsid w:val="00A255D9"/>
    <w:rsid w:val="00A257AE"/>
    <w:rsid w:val="00A307C4"/>
    <w:rsid w:val="00A32436"/>
    <w:rsid w:val="00A327B9"/>
    <w:rsid w:val="00A33637"/>
    <w:rsid w:val="00A36C51"/>
    <w:rsid w:val="00A4063E"/>
    <w:rsid w:val="00A42831"/>
    <w:rsid w:val="00A44D11"/>
    <w:rsid w:val="00A536E7"/>
    <w:rsid w:val="00A53D71"/>
    <w:rsid w:val="00A56AF2"/>
    <w:rsid w:val="00A56DA0"/>
    <w:rsid w:val="00A6327C"/>
    <w:rsid w:val="00A66425"/>
    <w:rsid w:val="00A67AE9"/>
    <w:rsid w:val="00A700F1"/>
    <w:rsid w:val="00A72789"/>
    <w:rsid w:val="00A763D3"/>
    <w:rsid w:val="00A77FF1"/>
    <w:rsid w:val="00A82957"/>
    <w:rsid w:val="00A84771"/>
    <w:rsid w:val="00A9030B"/>
    <w:rsid w:val="00AA156E"/>
    <w:rsid w:val="00AA7985"/>
    <w:rsid w:val="00AB16AE"/>
    <w:rsid w:val="00AB2D86"/>
    <w:rsid w:val="00AB5378"/>
    <w:rsid w:val="00AC7104"/>
    <w:rsid w:val="00AD03E4"/>
    <w:rsid w:val="00AD2B5F"/>
    <w:rsid w:val="00AD5115"/>
    <w:rsid w:val="00AD5689"/>
    <w:rsid w:val="00AD5D0E"/>
    <w:rsid w:val="00AD72E1"/>
    <w:rsid w:val="00AE097D"/>
    <w:rsid w:val="00AE1AA7"/>
    <w:rsid w:val="00AE5453"/>
    <w:rsid w:val="00AF0395"/>
    <w:rsid w:val="00AF4652"/>
    <w:rsid w:val="00AF686A"/>
    <w:rsid w:val="00B03327"/>
    <w:rsid w:val="00B03B20"/>
    <w:rsid w:val="00B068D9"/>
    <w:rsid w:val="00B174A6"/>
    <w:rsid w:val="00B175A2"/>
    <w:rsid w:val="00B2393F"/>
    <w:rsid w:val="00B242D6"/>
    <w:rsid w:val="00B266D3"/>
    <w:rsid w:val="00B37835"/>
    <w:rsid w:val="00B40226"/>
    <w:rsid w:val="00B41BAA"/>
    <w:rsid w:val="00B451DA"/>
    <w:rsid w:val="00B454DD"/>
    <w:rsid w:val="00B50F23"/>
    <w:rsid w:val="00B5132B"/>
    <w:rsid w:val="00B535E7"/>
    <w:rsid w:val="00B53CC5"/>
    <w:rsid w:val="00B56AC2"/>
    <w:rsid w:val="00B56DD3"/>
    <w:rsid w:val="00B5743A"/>
    <w:rsid w:val="00B6062B"/>
    <w:rsid w:val="00B62FE9"/>
    <w:rsid w:val="00B677DD"/>
    <w:rsid w:val="00B72120"/>
    <w:rsid w:val="00B74D4D"/>
    <w:rsid w:val="00B76262"/>
    <w:rsid w:val="00B841CA"/>
    <w:rsid w:val="00B87291"/>
    <w:rsid w:val="00B93B63"/>
    <w:rsid w:val="00B94AA4"/>
    <w:rsid w:val="00B97168"/>
    <w:rsid w:val="00BA174F"/>
    <w:rsid w:val="00BA214E"/>
    <w:rsid w:val="00BB2057"/>
    <w:rsid w:val="00BB5DC5"/>
    <w:rsid w:val="00BC05F0"/>
    <w:rsid w:val="00BC6E90"/>
    <w:rsid w:val="00BD1ECB"/>
    <w:rsid w:val="00BE25CE"/>
    <w:rsid w:val="00BF30C9"/>
    <w:rsid w:val="00BF5F76"/>
    <w:rsid w:val="00BF6720"/>
    <w:rsid w:val="00C00D26"/>
    <w:rsid w:val="00C0220E"/>
    <w:rsid w:val="00C0454B"/>
    <w:rsid w:val="00C13023"/>
    <w:rsid w:val="00C23A0D"/>
    <w:rsid w:val="00C3166F"/>
    <w:rsid w:val="00C47201"/>
    <w:rsid w:val="00C477A8"/>
    <w:rsid w:val="00C55503"/>
    <w:rsid w:val="00C57A53"/>
    <w:rsid w:val="00C57EA2"/>
    <w:rsid w:val="00C60815"/>
    <w:rsid w:val="00C60FF9"/>
    <w:rsid w:val="00C622C2"/>
    <w:rsid w:val="00C63C6F"/>
    <w:rsid w:val="00C653C4"/>
    <w:rsid w:val="00C65A83"/>
    <w:rsid w:val="00C70786"/>
    <w:rsid w:val="00C70B3B"/>
    <w:rsid w:val="00C7344F"/>
    <w:rsid w:val="00C73756"/>
    <w:rsid w:val="00C76623"/>
    <w:rsid w:val="00C806B3"/>
    <w:rsid w:val="00C82121"/>
    <w:rsid w:val="00C846B8"/>
    <w:rsid w:val="00C84732"/>
    <w:rsid w:val="00C877AA"/>
    <w:rsid w:val="00C91184"/>
    <w:rsid w:val="00C93CAF"/>
    <w:rsid w:val="00C96979"/>
    <w:rsid w:val="00C973E7"/>
    <w:rsid w:val="00CA5D23"/>
    <w:rsid w:val="00CB214F"/>
    <w:rsid w:val="00CB61B4"/>
    <w:rsid w:val="00CC5A90"/>
    <w:rsid w:val="00CD1052"/>
    <w:rsid w:val="00CD2E8D"/>
    <w:rsid w:val="00CD71FF"/>
    <w:rsid w:val="00CE550D"/>
    <w:rsid w:val="00CF19FF"/>
    <w:rsid w:val="00CF1A21"/>
    <w:rsid w:val="00CF27A7"/>
    <w:rsid w:val="00CF6E07"/>
    <w:rsid w:val="00D03156"/>
    <w:rsid w:val="00D03745"/>
    <w:rsid w:val="00D058FC"/>
    <w:rsid w:val="00D07DF3"/>
    <w:rsid w:val="00D13648"/>
    <w:rsid w:val="00D20EED"/>
    <w:rsid w:val="00D21B56"/>
    <w:rsid w:val="00D239B5"/>
    <w:rsid w:val="00D27202"/>
    <w:rsid w:val="00D27A3A"/>
    <w:rsid w:val="00D32E95"/>
    <w:rsid w:val="00D34E39"/>
    <w:rsid w:val="00D353D1"/>
    <w:rsid w:val="00D43426"/>
    <w:rsid w:val="00D44E0A"/>
    <w:rsid w:val="00D47036"/>
    <w:rsid w:val="00D5316E"/>
    <w:rsid w:val="00D5449D"/>
    <w:rsid w:val="00D61958"/>
    <w:rsid w:val="00D62527"/>
    <w:rsid w:val="00D63595"/>
    <w:rsid w:val="00D63B84"/>
    <w:rsid w:val="00D663EE"/>
    <w:rsid w:val="00D7076C"/>
    <w:rsid w:val="00D72696"/>
    <w:rsid w:val="00D778CE"/>
    <w:rsid w:val="00D80FB0"/>
    <w:rsid w:val="00D82FDB"/>
    <w:rsid w:val="00D845A4"/>
    <w:rsid w:val="00D84F70"/>
    <w:rsid w:val="00D901D5"/>
    <w:rsid w:val="00D923DF"/>
    <w:rsid w:val="00D92B30"/>
    <w:rsid w:val="00D9689F"/>
    <w:rsid w:val="00DA1615"/>
    <w:rsid w:val="00DA7FBD"/>
    <w:rsid w:val="00DB00EC"/>
    <w:rsid w:val="00DC3400"/>
    <w:rsid w:val="00DC5950"/>
    <w:rsid w:val="00DD13B4"/>
    <w:rsid w:val="00DD32C1"/>
    <w:rsid w:val="00DD6D93"/>
    <w:rsid w:val="00DD7B0D"/>
    <w:rsid w:val="00DE242E"/>
    <w:rsid w:val="00DE2EA8"/>
    <w:rsid w:val="00DE4448"/>
    <w:rsid w:val="00DE4F1C"/>
    <w:rsid w:val="00DE597C"/>
    <w:rsid w:val="00E00475"/>
    <w:rsid w:val="00E0160A"/>
    <w:rsid w:val="00E03381"/>
    <w:rsid w:val="00E03BBB"/>
    <w:rsid w:val="00E04678"/>
    <w:rsid w:val="00E12A7F"/>
    <w:rsid w:val="00E169CD"/>
    <w:rsid w:val="00E16B8A"/>
    <w:rsid w:val="00E1702B"/>
    <w:rsid w:val="00E22949"/>
    <w:rsid w:val="00E24258"/>
    <w:rsid w:val="00E323F7"/>
    <w:rsid w:val="00E34BEE"/>
    <w:rsid w:val="00E403FC"/>
    <w:rsid w:val="00E404D1"/>
    <w:rsid w:val="00E42C8F"/>
    <w:rsid w:val="00E445E8"/>
    <w:rsid w:val="00E44EBE"/>
    <w:rsid w:val="00E47563"/>
    <w:rsid w:val="00E55E68"/>
    <w:rsid w:val="00E6047C"/>
    <w:rsid w:val="00E61644"/>
    <w:rsid w:val="00E62CAE"/>
    <w:rsid w:val="00E657DA"/>
    <w:rsid w:val="00E65F97"/>
    <w:rsid w:val="00E66FBD"/>
    <w:rsid w:val="00E71CC1"/>
    <w:rsid w:val="00E7320E"/>
    <w:rsid w:val="00E75836"/>
    <w:rsid w:val="00E76471"/>
    <w:rsid w:val="00E771B8"/>
    <w:rsid w:val="00E77628"/>
    <w:rsid w:val="00E84136"/>
    <w:rsid w:val="00E85834"/>
    <w:rsid w:val="00E87F0A"/>
    <w:rsid w:val="00E92BA4"/>
    <w:rsid w:val="00E9784B"/>
    <w:rsid w:val="00EA0CB3"/>
    <w:rsid w:val="00EA13EF"/>
    <w:rsid w:val="00EA5513"/>
    <w:rsid w:val="00EA5F08"/>
    <w:rsid w:val="00EA7AD5"/>
    <w:rsid w:val="00EB056F"/>
    <w:rsid w:val="00EB1C3A"/>
    <w:rsid w:val="00EB475B"/>
    <w:rsid w:val="00EB6080"/>
    <w:rsid w:val="00EB60B2"/>
    <w:rsid w:val="00EB68C3"/>
    <w:rsid w:val="00EB7E33"/>
    <w:rsid w:val="00EC0449"/>
    <w:rsid w:val="00EC1A55"/>
    <w:rsid w:val="00EC1AC2"/>
    <w:rsid w:val="00EC4AA3"/>
    <w:rsid w:val="00EC6284"/>
    <w:rsid w:val="00ED0F51"/>
    <w:rsid w:val="00ED15AB"/>
    <w:rsid w:val="00ED478C"/>
    <w:rsid w:val="00ED5EB6"/>
    <w:rsid w:val="00ED740A"/>
    <w:rsid w:val="00EE5302"/>
    <w:rsid w:val="00EE5CBD"/>
    <w:rsid w:val="00EE69EB"/>
    <w:rsid w:val="00EF0AC0"/>
    <w:rsid w:val="00EF38DB"/>
    <w:rsid w:val="00EF39DB"/>
    <w:rsid w:val="00EF5B44"/>
    <w:rsid w:val="00EF6B8C"/>
    <w:rsid w:val="00EF6C9F"/>
    <w:rsid w:val="00EF79A2"/>
    <w:rsid w:val="00F02FC2"/>
    <w:rsid w:val="00F03F15"/>
    <w:rsid w:val="00F114FF"/>
    <w:rsid w:val="00F12DAA"/>
    <w:rsid w:val="00F221F2"/>
    <w:rsid w:val="00F22DD1"/>
    <w:rsid w:val="00F30807"/>
    <w:rsid w:val="00F31625"/>
    <w:rsid w:val="00F316E3"/>
    <w:rsid w:val="00F36512"/>
    <w:rsid w:val="00F36DF8"/>
    <w:rsid w:val="00F420FC"/>
    <w:rsid w:val="00F42E08"/>
    <w:rsid w:val="00F433A8"/>
    <w:rsid w:val="00F4498B"/>
    <w:rsid w:val="00F4527E"/>
    <w:rsid w:val="00F47BDF"/>
    <w:rsid w:val="00F47FBD"/>
    <w:rsid w:val="00F504C5"/>
    <w:rsid w:val="00F554A6"/>
    <w:rsid w:val="00F565DE"/>
    <w:rsid w:val="00F56677"/>
    <w:rsid w:val="00F60824"/>
    <w:rsid w:val="00F6473F"/>
    <w:rsid w:val="00F71EBC"/>
    <w:rsid w:val="00F727E0"/>
    <w:rsid w:val="00F834FD"/>
    <w:rsid w:val="00F87BE4"/>
    <w:rsid w:val="00F92783"/>
    <w:rsid w:val="00F935DE"/>
    <w:rsid w:val="00F94BD7"/>
    <w:rsid w:val="00F9733F"/>
    <w:rsid w:val="00FA48E2"/>
    <w:rsid w:val="00FA5690"/>
    <w:rsid w:val="00FA793D"/>
    <w:rsid w:val="00FB52C9"/>
    <w:rsid w:val="00FC2988"/>
    <w:rsid w:val="00FD06C5"/>
    <w:rsid w:val="00FD1BCD"/>
    <w:rsid w:val="00FD2546"/>
    <w:rsid w:val="00FD2547"/>
    <w:rsid w:val="00FD3322"/>
    <w:rsid w:val="00FE6B99"/>
    <w:rsid w:val="00FF1C99"/>
    <w:rsid w:val="00FF1DCA"/>
    <w:rsid w:val="00FF47C1"/>
    <w:rsid w:val="01065E42"/>
    <w:rsid w:val="013E61E2"/>
    <w:rsid w:val="015E6884"/>
    <w:rsid w:val="01637227"/>
    <w:rsid w:val="01B46574"/>
    <w:rsid w:val="01BF6BC8"/>
    <w:rsid w:val="01C53E30"/>
    <w:rsid w:val="02741EBF"/>
    <w:rsid w:val="0295339B"/>
    <w:rsid w:val="02AD32CA"/>
    <w:rsid w:val="02C8406E"/>
    <w:rsid w:val="02E16068"/>
    <w:rsid w:val="02F444B4"/>
    <w:rsid w:val="0337738D"/>
    <w:rsid w:val="037A3D80"/>
    <w:rsid w:val="03C84489"/>
    <w:rsid w:val="04501303"/>
    <w:rsid w:val="04CB7B80"/>
    <w:rsid w:val="04E46638"/>
    <w:rsid w:val="04E470A0"/>
    <w:rsid w:val="05303E6A"/>
    <w:rsid w:val="05341E77"/>
    <w:rsid w:val="05353DA0"/>
    <w:rsid w:val="05393890"/>
    <w:rsid w:val="062410CC"/>
    <w:rsid w:val="068428E9"/>
    <w:rsid w:val="06931662"/>
    <w:rsid w:val="06BA455D"/>
    <w:rsid w:val="06E52E9C"/>
    <w:rsid w:val="06E9219D"/>
    <w:rsid w:val="074327A4"/>
    <w:rsid w:val="07A1258F"/>
    <w:rsid w:val="07B72717"/>
    <w:rsid w:val="084954A1"/>
    <w:rsid w:val="09045F63"/>
    <w:rsid w:val="093645B1"/>
    <w:rsid w:val="09497E1A"/>
    <w:rsid w:val="09605504"/>
    <w:rsid w:val="098826F0"/>
    <w:rsid w:val="0A3C52AF"/>
    <w:rsid w:val="0AFF2E86"/>
    <w:rsid w:val="0B3B5FBA"/>
    <w:rsid w:val="0B41236E"/>
    <w:rsid w:val="0B6A752E"/>
    <w:rsid w:val="0B6F2FA8"/>
    <w:rsid w:val="0BE5207C"/>
    <w:rsid w:val="0BE65DF4"/>
    <w:rsid w:val="0C1B3CF0"/>
    <w:rsid w:val="0C272694"/>
    <w:rsid w:val="0C5C7E64"/>
    <w:rsid w:val="0C6C62F9"/>
    <w:rsid w:val="0C8B32C7"/>
    <w:rsid w:val="0CAC3B50"/>
    <w:rsid w:val="0D02216C"/>
    <w:rsid w:val="0D305579"/>
    <w:rsid w:val="0D704CA5"/>
    <w:rsid w:val="0D8E04F1"/>
    <w:rsid w:val="0D920F7B"/>
    <w:rsid w:val="0D99476A"/>
    <w:rsid w:val="0DB41C7D"/>
    <w:rsid w:val="0DD01AF1"/>
    <w:rsid w:val="0DD26D65"/>
    <w:rsid w:val="0DDA54E4"/>
    <w:rsid w:val="0E7C7DB8"/>
    <w:rsid w:val="0EF50331"/>
    <w:rsid w:val="0F023DFE"/>
    <w:rsid w:val="0F0D3C99"/>
    <w:rsid w:val="0FA22032"/>
    <w:rsid w:val="0FC65D20"/>
    <w:rsid w:val="0FF5258F"/>
    <w:rsid w:val="0FF705D0"/>
    <w:rsid w:val="10256E5E"/>
    <w:rsid w:val="10727C56"/>
    <w:rsid w:val="10765998"/>
    <w:rsid w:val="10B507A3"/>
    <w:rsid w:val="1173105F"/>
    <w:rsid w:val="11B83A07"/>
    <w:rsid w:val="11BD13A5"/>
    <w:rsid w:val="122431D2"/>
    <w:rsid w:val="125D05FA"/>
    <w:rsid w:val="125F1EEA"/>
    <w:rsid w:val="12993BC0"/>
    <w:rsid w:val="12B96010"/>
    <w:rsid w:val="13367661"/>
    <w:rsid w:val="13651CF4"/>
    <w:rsid w:val="13C27BDE"/>
    <w:rsid w:val="13E4036C"/>
    <w:rsid w:val="13ED41C3"/>
    <w:rsid w:val="142C2AB3"/>
    <w:rsid w:val="14524621"/>
    <w:rsid w:val="14555FE0"/>
    <w:rsid w:val="14563F45"/>
    <w:rsid w:val="14C8078D"/>
    <w:rsid w:val="150D43F1"/>
    <w:rsid w:val="156644E7"/>
    <w:rsid w:val="15B71635"/>
    <w:rsid w:val="15C94FAC"/>
    <w:rsid w:val="15DA4D14"/>
    <w:rsid w:val="15DD5B72"/>
    <w:rsid w:val="1629525B"/>
    <w:rsid w:val="16624BED"/>
    <w:rsid w:val="16BE26F7"/>
    <w:rsid w:val="17000058"/>
    <w:rsid w:val="172D0D7B"/>
    <w:rsid w:val="17324FA7"/>
    <w:rsid w:val="17484A5C"/>
    <w:rsid w:val="176A5B2B"/>
    <w:rsid w:val="176A78D9"/>
    <w:rsid w:val="178E3152"/>
    <w:rsid w:val="17EF6030"/>
    <w:rsid w:val="1881137E"/>
    <w:rsid w:val="18842C1C"/>
    <w:rsid w:val="18AB7454"/>
    <w:rsid w:val="19373330"/>
    <w:rsid w:val="19467ED2"/>
    <w:rsid w:val="19701237"/>
    <w:rsid w:val="19761881"/>
    <w:rsid w:val="1A4D7795"/>
    <w:rsid w:val="1A705206"/>
    <w:rsid w:val="1A846F04"/>
    <w:rsid w:val="1A8509E3"/>
    <w:rsid w:val="1AAA4F52"/>
    <w:rsid w:val="1AAE5D2F"/>
    <w:rsid w:val="1AC55BC3"/>
    <w:rsid w:val="1B244243"/>
    <w:rsid w:val="1B490C5F"/>
    <w:rsid w:val="1B9969DF"/>
    <w:rsid w:val="1C166A80"/>
    <w:rsid w:val="1C1E0C92"/>
    <w:rsid w:val="1C3239B9"/>
    <w:rsid w:val="1C907EEF"/>
    <w:rsid w:val="1CCC7872"/>
    <w:rsid w:val="1CE95744"/>
    <w:rsid w:val="1D293D92"/>
    <w:rsid w:val="1D2B3667"/>
    <w:rsid w:val="1DB74F4D"/>
    <w:rsid w:val="1DE657E0"/>
    <w:rsid w:val="1E0C793C"/>
    <w:rsid w:val="1E14234D"/>
    <w:rsid w:val="1E1D56A5"/>
    <w:rsid w:val="1E302D06"/>
    <w:rsid w:val="1EAC09AC"/>
    <w:rsid w:val="1EE53CE9"/>
    <w:rsid w:val="1F2760B0"/>
    <w:rsid w:val="1FA616CA"/>
    <w:rsid w:val="1FFC10A4"/>
    <w:rsid w:val="1FFC578E"/>
    <w:rsid w:val="20B322F1"/>
    <w:rsid w:val="20C22534"/>
    <w:rsid w:val="21183C0B"/>
    <w:rsid w:val="216B481E"/>
    <w:rsid w:val="21AB2298"/>
    <w:rsid w:val="21AB746C"/>
    <w:rsid w:val="21BB449B"/>
    <w:rsid w:val="21F20BC3"/>
    <w:rsid w:val="220B1DE3"/>
    <w:rsid w:val="22266AF2"/>
    <w:rsid w:val="229C0B63"/>
    <w:rsid w:val="22EC7506"/>
    <w:rsid w:val="2342795C"/>
    <w:rsid w:val="23A949D8"/>
    <w:rsid w:val="244E188F"/>
    <w:rsid w:val="24880964"/>
    <w:rsid w:val="267C4F33"/>
    <w:rsid w:val="268F4F93"/>
    <w:rsid w:val="269663A8"/>
    <w:rsid w:val="26C1503C"/>
    <w:rsid w:val="26F73072"/>
    <w:rsid w:val="27026D12"/>
    <w:rsid w:val="270D202F"/>
    <w:rsid w:val="271B2D57"/>
    <w:rsid w:val="272950BB"/>
    <w:rsid w:val="2767173F"/>
    <w:rsid w:val="2895453F"/>
    <w:rsid w:val="28D3229D"/>
    <w:rsid w:val="29FF2103"/>
    <w:rsid w:val="2A0C110B"/>
    <w:rsid w:val="2A17569E"/>
    <w:rsid w:val="2A225DF1"/>
    <w:rsid w:val="2A783C63"/>
    <w:rsid w:val="2A862956"/>
    <w:rsid w:val="2A8E16D9"/>
    <w:rsid w:val="2A9C5BA4"/>
    <w:rsid w:val="2AC23D4E"/>
    <w:rsid w:val="2AC62C21"/>
    <w:rsid w:val="2B377E0C"/>
    <w:rsid w:val="2B7D46AF"/>
    <w:rsid w:val="2B8A00F2"/>
    <w:rsid w:val="2C7E5FEB"/>
    <w:rsid w:val="2CDB2211"/>
    <w:rsid w:val="2CF63C91"/>
    <w:rsid w:val="2CFF1D81"/>
    <w:rsid w:val="2F0B154A"/>
    <w:rsid w:val="2F233B9F"/>
    <w:rsid w:val="2F61477C"/>
    <w:rsid w:val="30030473"/>
    <w:rsid w:val="30D616E4"/>
    <w:rsid w:val="31104BF6"/>
    <w:rsid w:val="31271F3F"/>
    <w:rsid w:val="316E7B6E"/>
    <w:rsid w:val="31EB11BF"/>
    <w:rsid w:val="32384C16"/>
    <w:rsid w:val="32A91F0D"/>
    <w:rsid w:val="32B048E2"/>
    <w:rsid w:val="32DC7485"/>
    <w:rsid w:val="332E00DF"/>
    <w:rsid w:val="334C3DD3"/>
    <w:rsid w:val="336B6AD6"/>
    <w:rsid w:val="33CD6DCE"/>
    <w:rsid w:val="3486722C"/>
    <w:rsid w:val="34C209B8"/>
    <w:rsid w:val="3549347F"/>
    <w:rsid w:val="35842328"/>
    <w:rsid w:val="35D47B2A"/>
    <w:rsid w:val="35D95EFE"/>
    <w:rsid w:val="35E56419"/>
    <w:rsid w:val="361D75FB"/>
    <w:rsid w:val="365D08DD"/>
    <w:rsid w:val="36914A2B"/>
    <w:rsid w:val="36A439FC"/>
    <w:rsid w:val="36BC6F7C"/>
    <w:rsid w:val="374636E8"/>
    <w:rsid w:val="3793032E"/>
    <w:rsid w:val="37D7646D"/>
    <w:rsid w:val="37F41D07"/>
    <w:rsid w:val="38190834"/>
    <w:rsid w:val="386B4E07"/>
    <w:rsid w:val="38BD1B07"/>
    <w:rsid w:val="38C75A14"/>
    <w:rsid w:val="38CA6E75"/>
    <w:rsid w:val="38E42223"/>
    <w:rsid w:val="393C47C4"/>
    <w:rsid w:val="39495149"/>
    <w:rsid w:val="396150B4"/>
    <w:rsid w:val="397A79F8"/>
    <w:rsid w:val="397D1988"/>
    <w:rsid w:val="398D772B"/>
    <w:rsid w:val="39D67EFE"/>
    <w:rsid w:val="3B5A363D"/>
    <w:rsid w:val="3B5E3171"/>
    <w:rsid w:val="3BD55623"/>
    <w:rsid w:val="3BDB5D77"/>
    <w:rsid w:val="3C850B8E"/>
    <w:rsid w:val="3C9B1CB9"/>
    <w:rsid w:val="3CB80EBB"/>
    <w:rsid w:val="3D0D46DF"/>
    <w:rsid w:val="3D3A1978"/>
    <w:rsid w:val="3D3C45F6"/>
    <w:rsid w:val="3D485717"/>
    <w:rsid w:val="3D9F3D0F"/>
    <w:rsid w:val="3EB017C6"/>
    <w:rsid w:val="3ECA77E5"/>
    <w:rsid w:val="3F03223E"/>
    <w:rsid w:val="3F346EDE"/>
    <w:rsid w:val="3F400D9C"/>
    <w:rsid w:val="3F42757A"/>
    <w:rsid w:val="3F4E581B"/>
    <w:rsid w:val="3F644181"/>
    <w:rsid w:val="3F7E74FA"/>
    <w:rsid w:val="3F9B2F92"/>
    <w:rsid w:val="3FE61943"/>
    <w:rsid w:val="407D392A"/>
    <w:rsid w:val="41166258"/>
    <w:rsid w:val="414C12B2"/>
    <w:rsid w:val="41834E8D"/>
    <w:rsid w:val="41EC0D67"/>
    <w:rsid w:val="423E5B27"/>
    <w:rsid w:val="42A45AE6"/>
    <w:rsid w:val="43170066"/>
    <w:rsid w:val="43CE1A81"/>
    <w:rsid w:val="43F63ADC"/>
    <w:rsid w:val="44016423"/>
    <w:rsid w:val="4484172B"/>
    <w:rsid w:val="44983428"/>
    <w:rsid w:val="44E421C9"/>
    <w:rsid w:val="4549474B"/>
    <w:rsid w:val="457A3AA8"/>
    <w:rsid w:val="458A0FC3"/>
    <w:rsid w:val="458D5460"/>
    <w:rsid w:val="45AE676A"/>
    <w:rsid w:val="45DB537A"/>
    <w:rsid w:val="45EA7CB3"/>
    <w:rsid w:val="45FF375F"/>
    <w:rsid w:val="46731A57"/>
    <w:rsid w:val="475050F8"/>
    <w:rsid w:val="4755039C"/>
    <w:rsid w:val="47777325"/>
    <w:rsid w:val="478657BA"/>
    <w:rsid w:val="47EF15B1"/>
    <w:rsid w:val="47F210A1"/>
    <w:rsid w:val="48043FED"/>
    <w:rsid w:val="482B4D74"/>
    <w:rsid w:val="487D6BBD"/>
    <w:rsid w:val="48A62240"/>
    <w:rsid w:val="48A65092"/>
    <w:rsid w:val="48EC3D42"/>
    <w:rsid w:val="490B41C9"/>
    <w:rsid w:val="49122C56"/>
    <w:rsid w:val="49CB5832"/>
    <w:rsid w:val="4A282B58"/>
    <w:rsid w:val="4A7E09CA"/>
    <w:rsid w:val="4ABC490D"/>
    <w:rsid w:val="4B06733D"/>
    <w:rsid w:val="4B1307D7"/>
    <w:rsid w:val="4BAE583F"/>
    <w:rsid w:val="4C447326"/>
    <w:rsid w:val="4C72455F"/>
    <w:rsid w:val="4CA44A39"/>
    <w:rsid w:val="4CE6240A"/>
    <w:rsid w:val="4D810EF9"/>
    <w:rsid w:val="4D93478D"/>
    <w:rsid w:val="4D9505C5"/>
    <w:rsid w:val="4DEC594D"/>
    <w:rsid w:val="4E1072E2"/>
    <w:rsid w:val="4E524648"/>
    <w:rsid w:val="4E562A74"/>
    <w:rsid w:val="4E5A5B81"/>
    <w:rsid w:val="4EB57E38"/>
    <w:rsid w:val="4F1B712F"/>
    <w:rsid w:val="4F585E52"/>
    <w:rsid w:val="4FA723AD"/>
    <w:rsid w:val="4FAE58AE"/>
    <w:rsid w:val="4FC36C82"/>
    <w:rsid w:val="500812B3"/>
    <w:rsid w:val="501E6ED7"/>
    <w:rsid w:val="505962D0"/>
    <w:rsid w:val="508B61E1"/>
    <w:rsid w:val="508C3129"/>
    <w:rsid w:val="50D47596"/>
    <w:rsid w:val="50D91050"/>
    <w:rsid w:val="510D2AA8"/>
    <w:rsid w:val="516528E4"/>
    <w:rsid w:val="517D5E7F"/>
    <w:rsid w:val="51BD627C"/>
    <w:rsid w:val="52020133"/>
    <w:rsid w:val="522C7AF0"/>
    <w:rsid w:val="52560FD7"/>
    <w:rsid w:val="525A6314"/>
    <w:rsid w:val="52D7511B"/>
    <w:rsid w:val="52F757BE"/>
    <w:rsid w:val="53163E96"/>
    <w:rsid w:val="539354E6"/>
    <w:rsid w:val="539574B0"/>
    <w:rsid w:val="53A96AB8"/>
    <w:rsid w:val="543E66C1"/>
    <w:rsid w:val="54414F42"/>
    <w:rsid w:val="545729B8"/>
    <w:rsid w:val="54E23AF9"/>
    <w:rsid w:val="55050666"/>
    <w:rsid w:val="55C61EFD"/>
    <w:rsid w:val="56E36785"/>
    <w:rsid w:val="56FC7728"/>
    <w:rsid w:val="57853398"/>
    <w:rsid w:val="57A8352A"/>
    <w:rsid w:val="57AC301B"/>
    <w:rsid w:val="581C286A"/>
    <w:rsid w:val="584E2170"/>
    <w:rsid w:val="58810003"/>
    <w:rsid w:val="589046EA"/>
    <w:rsid w:val="58B04765"/>
    <w:rsid w:val="58C06A9A"/>
    <w:rsid w:val="58C12AF6"/>
    <w:rsid w:val="58DA7713"/>
    <w:rsid w:val="59290CF4"/>
    <w:rsid w:val="59A10231"/>
    <w:rsid w:val="59BD4B5F"/>
    <w:rsid w:val="59C4289D"/>
    <w:rsid w:val="5A1F5D26"/>
    <w:rsid w:val="5A45552A"/>
    <w:rsid w:val="5A7659B1"/>
    <w:rsid w:val="5A876009"/>
    <w:rsid w:val="5B433C96"/>
    <w:rsid w:val="5BA551B8"/>
    <w:rsid w:val="5BAD751D"/>
    <w:rsid w:val="5BB97AB4"/>
    <w:rsid w:val="5BDD4020"/>
    <w:rsid w:val="5C297F2A"/>
    <w:rsid w:val="5C3830CF"/>
    <w:rsid w:val="5C69772C"/>
    <w:rsid w:val="5C6A0DAE"/>
    <w:rsid w:val="5C714F4C"/>
    <w:rsid w:val="5D391FCE"/>
    <w:rsid w:val="5D3D64C3"/>
    <w:rsid w:val="5E677C9B"/>
    <w:rsid w:val="5E740E87"/>
    <w:rsid w:val="5E8B1BDC"/>
    <w:rsid w:val="5EF808F3"/>
    <w:rsid w:val="5F2D48BC"/>
    <w:rsid w:val="5F724B4A"/>
    <w:rsid w:val="5F8D1984"/>
    <w:rsid w:val="600C0AFA"/>
    <w:rsid w:val="601F332A"/>
    <w:rsid w:val="60444037"/>
    <w:rsid w:val="607246D5"/>
    <w:rsid w:val="60DF3B09"/>
    <w:rsid w:val="60F8107F"/>
    <w:rsid w:val="61412A26"/>
    <w:rsid w:val="6162299C"/>
    <w:rsid w:val="620D46B6"/>
    <w:rsid w:val="624D71A8"/>
    <w:rsid w:val="626F653F"/>
    <w:rsid w:val="629F1352"/>
    <w:rsid w:val="62A3714C"/>
    <w:rsid w:val="62FA7330"/>
    <w:rsid w:val="633E3938"/>
    <w:rsid w:val="63A30F39"/>
    <w:rsid w:val="63B13877"/>
    <w:rsid w:val="63E458EA"/>
    <w:rsid w:val="643C2928"/>
    <w:rsid w:val="64CE0D28"/>
    <w:rsid w:val="64D21BE7"/>
    <w:rsid w:val="64EC2CA8"/>
    <w:rsid w:val="65167D25"/>
    <w:rsid w:val="6518584B"/>
    <w:rsid w:val="65476131"/>
    <w:rsid w:val="654E7B44"/>
    <w:rsid w:val="65861857"/>
    <w:rsid w:val="65A51028"/>
    <w:rsid w:val="65AA362B"/>
    <w:rsid w:val="65FF3763"/>
    <w:rsid w:val="66AA2EC4"/>
    <w:rsid w:val="66BF76BD"/>
    <w:rsid w:val="66D571E1"/>
    <w:rsid w:val="671958AB"/>
    <w:rsid w:val="67580AC9"/>
    <w:rsid w:val="67D30150"/>
    <w:rsid w:val="6813307A"/>
    <w:rsid w:val="6817003C"/>
    <w:rsid w:val="68212C69"/>
    <w:rsid w:val="68994EF5"/>
    <w:rsid w:val="68E819D9"/>
    <w:rsid w:val="69A339D9"/>
    <w:rsid w:val="69A578CA"/>
    <w:rsid w:val="6A457688"/>
    <w:rsid w:val="6AB64CEC"/>
    <w:rsid w:val="6AC1312A"/>
    <w:rsid w:val="6AD05952"/>
    <w:rsid w:val="6B022D7D"/>
    <w:rsid w:val="6B317667"/>
    <w:rsid w:val="6B721A2E"/>
    <w:rsid w:val="6B792DBC"/>
    <w:rsid w:val="6C564753"/>
    <w:rsid w:val="6CBF3BF0"/>
    <w:rsid w:val="6CC91B21"/>
    <w:rsid w:val="6D026587"/>
    <w:rsid w:val="6D12630D"/>
    <w:rsid w:val="6D6D6950"/>
    <w:rsid w:val="6E27182F"/>
    <w:rsid w:val="6E3135E6"/>
    <w:rsid w:val="6E5D4C17"/>
    <w:rsid w:val="6F742218"/>
    <w:rsid w:val="6F7F4719"/>
    <w:rsid w:val="6F952AC4"/>
    <w:rsid w:val="701A11C1"/>
    <w:rsid w:val="701D7AE5"/>
    <w:rsid w:val="702C2AF3"/>
    <w:rsid w:val="70376D45"/>
    <w:rsid w:val="70761FC0"/>
    <w:rsid w:val="708D61F9"/>
    <w:rsid w:val="70C67B60"/>
    <w:rsid w:val="70FD6C09"/>
    <w:rsid w:val="71110990"/>
    <w:rsid w:val="712E5838"/>
    <w:rsid w:val="717E737E"/>
    <w:rsid w:val="71EB08C4"/>
    <w:rsid w:val="720F447A"/>
    <w:rsid w:val="72261786"/>
    <w:rsid w:val="722C6DDA"/>
    <w:rsid w:val="72636F8A"/>
    <w:rsid w:val="7310515C"/>
    <w:rsid w:val="73411304"/>
    <w:rsid w:val="738844E4"/>
    <w:rsid w:val="74077E17"/>
    <w:rsid w:val="74600FBD"/>
    <w:rsid w:val="74A116CF"/>
    <w:rsid w:val="74B60BDD"/>
    <w:rsid w:val="752E4C17"/>
    <w:rsid w:val="753330D8"/>
    <w:rsid w:val="756E5701"/>
    <w:rsid w:val="75DC28C5"/>
    <w:rsid w:val="761756AB"/>
    <w:rsid w:val="76973A69"/>
    <w:rsid w:val="773641B0"/>
    <w:rsid w:val="77630461"/>
    <w:rsid w:val="77831F31"/>
    <w:rsid w:val="7798281C"/>
    <w:rsid w:val="77FF0787"/>
    <w:rsid w:val="782A7918"/>
    <w:rsid w:val="78A07BDA"/>
    <w:rsid w:val="78E528CF"/>
    <w:rsid w:val="794744F9"/>
    <w:rsid w:val="794B3FEA"/>
    <w:rsid w:val="79997827"/>
    <w:rsid w:val="79AE7B9C"/>
    <w:rsid w:val="79EF67E5"/>
    <w:rsid w:val="7A4B3072"/>
    <w:rsid w:val="7ABB1E4D"/>
    <w:rsid w:val="7B4927AB"/>
    <w:rsid w:val="7B8622E6"/>
    <w:rsid w:val="7B934B12"/>
    <w:rsid w:val="7BD06A28"/>
    <w:rsid w:val="7C14004B"/>
    <w:rsid w:val="7C39281F"/>
    <w:rsid w:val="7C4A67DB"/>
    <w:rsid w:val="7C5E5DE2"/>
    <w:rsid w:val="7C776EA4"/>
    <w:rsid w:val="7C7B26F4"/>
    <w:rsid w:val="7CB71996"/>
    <w:rsid w:val="7CFE75C5"/>
    <w:rsid w:val="7DC9372F"/>
    <w:rsid w:val="7DFA7D8C"/>
    <w:rsid w:val="7E004525"/>
    <w:rsid w:val="7E8B30DA"/>
    <w:rsid w:val="7EC32874"/>
    <w:rsid w:val="7F313C82"/>
    <w:rsid w:val="7FBD72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qFormat="1" w:unhideWhenUsed="0" w:uiPriority="0" w:semiHidden="0"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5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4">
    <w:name w:val="heading 1"/>
    <w:basedOn w:val="1"/>
    <w:next w:val="1"/>
    <w:link w:val="40"/>
    <w:qFormat/>
    <w:uiPriority w:val="0"/>
    <w:pPr>
      <w:keepNext/>
      <w:spacing w:line="360" w:lineRule="auto"/>
      <w:ind w:firstLine="200" w:firstLineChars="200"/>
      <w:jc w:val="left"/>
      <w:outlineLvl w:val="0"/>
    </w:pPr>
    <w:rPr>
      <w:b/>
      <w:color w:val="000000"/>
      <w:sz w:val="30"/>
    </w:rPr>
  </w:style>
  <w:style w:type="paragraph" w:styleId="5">
    <w:name w:val="heading 2"/>
    <w:basedOn w:val="1"/>
    <w:next w:val="1"/>
    <w:link w:val="37"/>
    <w:qFormat/>
    <w:uiPriority w:val="0"/>
    <w:pPr>
      <w:keepNext/>
      <w:keepLines/>
      <w:spacing w:before="100" w:beforeAutospacing="1" w:after="100" w:afterAutospacing="1" w:line="360" w:lineRule="auto"/>
      <w:ind w:firstLine="200" w:firstLineChars="200"/>
      <w:outlineLvl w:val="1"/>
    </w:pPr>
    <w:rPr>
      <w:rFonts w:ascii="Arial" w:hAnsi="Arial"/>
      <w:b/>
      <w:sz w:val="28"/>
    </w:rPr>
  </w:style>
  <w:style w:type="paragraph" w:styleId="6">
    <w:name w:val="heading 3"/>
    <w:basedOn w:val="1"/>
    <w:next w:val="1"/>
    <w:link w:val="36"/>
    <w:qFormat/>
    <w:uiPriority w:val="0"/>
    <w:pPr>
      <w:keepNext/>
      <w:keepLines/>
      <w:spacing w:before="100" w:beforeAutospacing="1" w:after="100" w:afterAutospacing="1" w:line="360" w:lineRule="auto"/>
      <w:ind w:firstLine="200" w:firstLineChars="200"/>
      <w:outlineLvl w:val="2"/>
    </w:pPr>
  </w:style>
  <w:style w:type="paragraph" w:styleId="7">
    <w:name w:val="heading 4"/>
    <w:basedOn w:val="1"/>
    <w:next w:val="1"/>
    <w:link w:val="96"/>
    <w:semiHidden/>
    <w:unhideWhenUsed/>
    <w:qFormat/>
    <w:uiPriority w:val="0"/>
    <w:pPr>
      <w:keepNext/>
      <w:keepLines/>
      <w:spacing w:before="280" w:after="290" w:line="372" w:lineRule="auto"/>
      <w:jc w:val="center"/>
      <w:outlineLvl w:val="3"/>
    </w:pPr>
    <w:rPr>
      <w:rFonts w:ascii="Arial" w:hAnsi="Arial"/>
      <w:b/>
      <w:szCs w:val="22"/>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48"/>
    <w:qFormat/>
    <w:uiPriority w:val="99"/>
    <w:pPr>
      <w:tabs>
        <w:tab w:val="center" w:pos="4153"/>
        <w:tab w:val="right" w:pos="8306"/>
      </w:tabs>
      <w:snapToGrid w:val="0"/>
      <w:jc w:val="left"/>
    </w:pPr>
    <w:rPr>
      <w:sz w:val="18"/>
      <w:szCs w:val="18"/>
    </w:rPr>
  </w:style>
  <w:style w:type="paragraph" w:styleId="3">
    <w:name w:val="macro"/>
    <w:link w:val="41"/>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Courier New" w:hAnsi="Courier New" w:eastAsia="宋体" w:cs="Times New Roman"/>
      <w:sz w:val="21"/>
      <w:szCs w:val="22"/>
      <w:lang w:val="en-US" w:eastAsia="zh-CN" w:bidi="ar-SA"/>
    </w:rPr>
  </w:style>
  <w:style w:type="paragraph" w:styleId="8">
    <w:name w:val="Normal Indent"/>
    <w:basedOn w:val="1"/>
    <w:link w:val="90"/>
    <w:qFormat/>
    <w:uiPriority w:val="0"/>
    <w:pPr>
      <w:ind w:firstLine="420"/>
    </w:pPr>
    <w:rPr>
      <w:szCs w:val="20"/>
    </w:rPr>
  </w:style>
  <w:style w:type="paragraph" w:styleId="9">
    <w:name w:val="Document Map"/>
    <w:basedOn w:val="1"/>
    <w:link w:val="42"/>
    <w:qFormat/>
    <w:uiPriority w:val="0"/>
    <w:rPr>
      <w:rFonts w:ascii="宋体"/>
      <w:sz w:val="18"/>
      <w:szCs w:val="18"/>
    </w:rPr>
  </w:style>
  <w:style w:type="paragraph" w:styleId="10">
    <w:name w:val="annotation text"/>
    <w:basedOn w:val="1"/>
    <w:link w:val="43"/>
    <w:qFormat/>
    <w:uiPriority w:val="0"/>
    <w:pPr>
      <w:jc w:val="left"/>
    </w:pPr>
  </w:style>
  <w:style w:type="paragraph" w:styleId="11">
    <w:name w:val="Body Text"/>
    <w:basedOn w:val="1"/>
    <w:next w:val="12"/>
    <w:link w:val="38"/>
    <w:qFormat/>
    <w:uiPriority w:val="0"/>
    <w:rPr>
      <w:rFonts w:ascii="楷体_GB2312" w:hAnsi="Arial" w:eastAsia="楷体_GB2312"/>
      <w:kern w:val="0"/>
      <w:sz w:val="28"/>
      <w:szCs w:val="28"/>
    </w:rPr>
  </w:style>
  <w:style w:type="paragraph" w:styleId="12">
    <w:name w:val="Body Text First Indent"/>
    <w:basedOn w:val="11"/>
    <w:link w:val="39"/>
    <w:qFormat/>
    <w:uiPriority w:val="0"/>
    <w:pPr>
      <w:spacing w:line="312" w:lineRule="auto"/>
      <w:ind w:firstLine="420"/>
    </w:pPr>
  </w:style>
  <w:style w:type="paragraph" w:styleId="13">
    <w:name w:val="Body Text Indent"/>
    <w:basedOn w:val="1"/>
    <w:next w:val="14"/>
    <w:link w:val="44"/>
    <w:qFormat/>
    <w:uiPriority w:val="0"/>
    <w:pPr>
      <w:spacing w:after="120"/>
      <w:ind w:left="420" w:leftChars="200"/>
    </w:pPr>
    <w:rPr>
      <w:sz w:val="21"/>
    </w:rPr>
  </w:style>
  <w:style w:type="paragraph" w:styleId="14">
    <w:name w:val="envelope return"/>
    <w:basedOn w:val="1"/>
    <w:qFormat/>
    <w:uiPriority w:val="0"/>
    <w:pPr>
      <w:snapToGrid w:val="0"/>
    </w:pPr>
    <w:rPr>
      <w:rFonts w:ascii="Arial" w:hAnsi="Arial"/>
    </w:rPr>
  </w:style>
  <w:style w:type="paragraph" w:styleId="15">
    <w:name w:val="toc 3"/>
    <w:basedOn w:val="1"/>
    <w:next w:val="1"/>
    <w:qFormat/>
    <w:uiPriority w:val="39"/>
    <w:pPr>
      <w:ind w:left="840" w:leftChars="400"/>
    </w:pPr>
  </w:style>
  <w:style w:type="paragraph" w:styleId="16">
    <w:name w:val="Plain Text"/>
    <w:basedOn w:val="1"/>
    <w:link w:val="45"/>
    <w:qFormat/>
    <w:uiPriority w:val="0"/>
    <w:rPr>
      <w:rFonts w:ascii="Calibri" w:hAnsi="Calibri" w:cs="黑体"/>
      <w:szCs w:val="22"/>
    </w:rPr>
  </w:style>
  <w:style w:type="paragraph" w:styleId="17">
    <w:name w:val="Date"/>
    <w:basedOn w:val="1"/>
    <w:next w:val="1"/>
    <w:link w:val="46"/>
    <w:qFormat/>
    <w:uiPriority w:val="0"/>
    <w:pPr>
      <w:ind w:left="100" w:leftChars="2500"/>
    </w:pPr>
    <w:rPr>
      <w:rFonts w:eastAsia="仿宋_GB2312"/>
      <w:sz w:val="32"/>
    </w:rPr>
  </w:style>
  <w:style w:type="paragraph" w:styleId="18">
    <w:name w:val="Body Text Indent 2"/>
    <w:basedOn w:val="1"/>
    <w:link w:val="89"/>
    <w:unhideWhenUsed/>
    <w:qFormat/>
    <w:uiPriority w:val="99"/>
    <w:pPr>
      <w:spacing w:after="120" w:line="480" w:lineRule="auto"/>
      <w:ind w:left="420" w:leftChars="200"/>
    </w:pPr>
  </w:style>
  <w:style w:type="paragraph" w:styleId="19">
    <w:name w:val="Balloon Text"/>
    <w:basedOn w:val="1"/>
    <w:link w:val="47"/>
    <w:qFormat/>
    <w:uiPriority w:val="0"/>
    <w:rPr>
      <w:sz w:val="18"/>
      <w:szCs w:val="18"/>
    </w:rPr>
  </w:style>
  <w:style w:type="paragraph" w:styleId="20">
    <w:name w:val="header"/>
    <w:basedOn w:val="1"/>
    <w:link w:val="49"/>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toc 2"/>
    <w:basedOn w:val="1"/>
    <w:next w:val="1"/>
    <w:qFormat/>
    <w:uiPriority w:val="39"/>
    <w:pPr>
      <w:ind w:left="420" w:leftChars="200"/>
    </w:pPr>
  </w:style>
  <w:style w:type="paragraph" w:styleId="23">
    <w:name w:val="Message Header"/>
    <w:basedOn w:val="1"/>
    <w:link w:val="100"/>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rPr>
  </w:style>
  <w:style w:type="paragraph" w:styleId="24">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rPr>
  </w:style>
  <w:style w:type="paragraph" w:styleId="25">
    <w:name w:val="Normal (Web)"/>
    <w:basedOn w:val="1"/>
    <w:qFormat/>
    <w:uiPriority w:val="99"/>
    <w:pPr>
      <w:spacing w:before="100" w:beforeAutospacing="1" w:after="100" w:afterAutospacing="1"/>
      <w:jc w:val="left"/>
    </w:pPr>
    <w:rPr>
      <w:kern w:val="0"/>
    </w:rPr>
  </w:style>
  <w:style w:type="paragraph" w:styleId="26">
    <w:name w:val="Title"/>
    <w:basedOn w:val="1"/>
    <w:next w:val="1"/>
    <w:link w:val="50"/>
    <w:qFormat/>
    <w:uiPriority w:val="0"/>
    <w:pPr>
      <w:spacing w:before="240" w:after="60"/>
      <w:jc w:val="center"/>
      <w:outlineLvl w:val="0"/>
    </w:pPr>
    <w:rPr>
      <w:rFonts w:ascii="Cambria" w:hAnsi="Cambria"/>
      <w:b/>
      <w:bCs/>
      <w:sz w:val="36"/>
      <w:szCs w:val="32"/>
    </w:rPr>
  </w:style>
  <w:style w:type="paragraph" w:styleId="27">
    <w:name w:val="annotation subject"/>
    <w:basedOn w:val="10"/>
    <w:next w:val="10"/>
    <w:link w:val="51"/>
    <w:qFormat/>
    <w:uiPriority w:val="0"/>
    <w:rPr>
      <w:b/>
      <w:bCs/>
    </w:rPr>
  </w:style>
  <w:style w:type="paragraph" w:styleId="28">
    <w:name w:val="Body Text First Indent 2"/>
    <w:basedOn w:val="13"/>
    <w:link w:val="97"/>
    <w:qFormat/>
    <w:uiPriority w:val="0"/>
    <w:pPr>
      <w:ind w:firstLine="420" w:firstLineChars="200"/>
    </w:pPr>
    <w:rPr>
      <w:rFonts w:ascii="Calibri" w:hAnsi="Calibri"/>
      <w:sz w:val="24"/>
    </w:rPr>
  </w:style>
  <w:style w:type="table" w:styleId="30">
    <w:name w:val="Table Grid"/>
    <w:basedOn w:val="2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Hyperlink"/>
    <w:basedOn w:val="31"/>
    <w:qFormat/>
    <w:uiPriority w:val="99"/>
    <w:rPr>
      <w:color w:val="0563C1"/>
      <w:u w:val="single"/>
    </w:rPr>
  </w:style>
  <w:style w:type="character" w:styleId="34">
    <w:name w:val="annotation reference"/>
    <w:basedOn w:val="31"/>
    <w:qFormat/>
    <w:uiPriority w:val="0"/>
    <w:rPr>
      <w:sz w:val="21"/>
      <w:szCs w:val="21"/>
    </w:rPr>
  </w:style>
  <w:style w:type="paragraph" w:customStyle="1" w:styleId="35">
    <w:name w:val="_Style 23"/>
    <w:basedOn w:val="1"/>
    <w:qFormat/>
    <w:uiPriority w:val="0"/>
    <w:pPr>
      <w:adjustRightInd w:val="0"/>
      <w:spacing w:line="360" w:lineRule="atLeast"/>
      <w:jc w:val="left"/>
    </w:pPr>
  </w:style>
  <w:style w:type="character" w:customStyle="1" w:styleId="36">
    <w:name w:val="标题 3 Char"/>
    <w:basedOn w:val="31"/>
    <w:link w:val="6"/>
    <w:qFormat/>
    <w:uiPriority w:val="0"/>
    <w:rPr>
      <w:rFonts w:ascii="Times New Roman" w:hAnsi="Times New Roman" w:eastAsia="宋体"/>
      <w:kern w:val="2"/>
      <w:sz w:val="24"/>
    </w:rPr>
  </w:style>
  <w:style w:type="character" w:customStyle="1" w:styleId="37">
    <w:name w:val="标题 2 Char"/>
    <w:basedOn w:val="31"/>
    <w:link w:val="5"/>
    <w:qFormat/>
    <w:uiPriority w:val="0"/>
    <w:rPr>
      <w:rFonts w:ascii="Arial" w:hAnsi="Arial"/>
      <w:b/>
      <w:kern w:val="2"/>
      <w:sz w:val="28"/>
      <w:szCs w:val="24"/>
    </w:rPr>
  </w:style>
  <w:style w:type="character" w:customStyle="1" w:styleId="38">
    <w:name w:val="正文文本 Char"/>
    <w:basedOn w:val="31"/>
    <w:link w:val="11"/>
    <w:qFormat/>
    <w:uiPriority w:val="99"/>
    <w:rPr>
      <w:rFonts w:ascii="楷体_GB2312" w:hAnsi="Arial" w:eastAsia="楷体_GB2312"/>
      <w:sz w:val="28"/>
      <w:szCs w:val="28"/>
    </w:rPr>
  </w:style>
  <w:style w:type="character" w:customStyle="1" w:styleId="39">
    <w:name w:val="正文首行缩进 Char"/>
    <w:basedOn w:val="31"/>
    <w:link w:val="12"/>
    <w:qFormat/>
    <w:uiPriority w:val="0"/>
    <w:rPr>
      <w:rFonts w:ascii="楷体_GB2312" w:hAnsi="Arial" w:eastAsia="楷体_GB2312" w:cs="Times New Roman"/>
      <w:sz w:val="28"/>
      <w:szCs w:val="28"/>
    </w:rPr>
  </w:style>
  <w:style w:type="character" w:customStyle="1" w:styleId="40">
    <w:name w:val="标题 1 Char"/>
    <w:basedOn w:val="31"/>
    <w:link w:val="4"/>
    <w:qFormat/>
    <w:uiPriority w:val="0"/>
    <w:rPr>
      <w:b/>
      <w:color w:val="000000"/>
      <w:kern w:val="2"/>
      <w:sz w:val="30"/>
      <w:szCs w:val="24"/>
    </w:rPr>
  </w:style>
  <w:style w:type="character" w:customStyle="1" w:styleId="41">
    <w:name w:val="宏文本 Char"/>
    <w:basedOn w:val="31"/>
    <w:link w:val="3"/>
    <w:qFormat/>
    <w:uiPriority w:val="0"/>
    <w:rPr>
      <w:rFonts w:ascii="Courier New" w:hAnsi="Courier New"/>
      <w:sz w:val="21"/>
      <w:szCs w:val="22"/>
    </w:rPr>
  </w:style>
  <w:style w:type="character" w:customStyle="1" w:styleId="42">
    <w:name w:val="文档结构图 Char"/>
    <w:basedOn w:val="31"/>
    <w:link w:val="9"/>
    <w:qFormat/>
    <w:uiPriority w:val="0"/>
    <w:rPr>
      <w:rFonts w:ascii="宋体" w:hAnsi="Times New Roman" w:eastAsia="宋体" w:cs="Times New Roman"/>
      <w:kern w:val="2"/>
      <w:sz w:val="18"/>
      <w:szCs w:val="18"/>
    </w:rPr>
  </w:style>
  <w:style w:type="character" w:customStyle="1" w:styleId="43">
    <w:name w:val="批注文字 Char"/>
    <w:basedOn w:val="31"/>
    <w:link w:val="10"/>
    <w:qFormat/>
    <w:uiPriority w:val="0"/>
    <w:rPr>
      <w:rFonts w:ascii="Times New Roman" w:hAnsi="Times New Roman" w:eastAsia="宋体" w:cs="Times New Roman"/>
      <w:kern w:val="2"/>
      <w:sz w:val="24"/>
      <w:szCs w:val="24"/>
    </w:rPr>
  </w:style>
  <w:style w:type="character" w:customStyle="1" w:styleId="44">
    <w:name w:val="正文文本缩进 Char"/>
    <w:basedOn w:val="31"/>
    <w:link w:val="13"/>
    <w:qFormat/>
    <w:uiPriority w:val="0"/>
    <w:rPr>
      <w:kern w:val="2"/>
      <w:sz w:val="21"/>
      <w:szCs w:val="24"/>
    </w:rPr>
  </w:style>
  <w:style w:type="character" w:customStyle="1" w:styleId="45">
    <w:name w:val="纯文本 Char"/>
    <w:basedOn w:val="31"/>
    <w:link w:val="16"/>
    <w:qFormat/>
    <w:uiPriority w:val="0"/>
    <w:rPr>
      <w:rFonts w:ascii="Calibri" w:hAnsi="Calibri" w:eastAsia="宋体" w:cs="黑体"/>
      <w:kern w:val="2"/>
      <w:sz w:val="24"/>
      <w:szCs w:val="22"/>
    </w:rPr>
  </w:style>
  <w:style w:type="character" w:customStyle="1" w:styleId="46">
    <w:name w:val="日期 Char"/>
    <w:basedOn w:val="31"/>
    <w:link w:val="17"/>
    <w:qFormat/>
    <w:uiPriority w:val="0"/>
    <w:rPr>
      <w:rFonts w:eastAsia="仿宋_GB2312"/>
      <w:kern w:val="2"/>
      <w:sz w:val="32"/>
      <w:szCs w:val="24"/>
    </w:rPr>
  </w:style>
  <w:style w:type="character" w:customStyle="1" w:styleId="47">
    <w:name w:val="批注框文本 Char"/>
    <w:basedOn w:val="31"/>
    <w:link w:val="19"/>
    <w:qFormat/>
    <w:uiPriority w:val="0"/>
    <w:rPr>
      <w:rFonts w:ascii="Times New Roman" w:hAnsi="Times New Roman" w:eastAsia="宋体" w:cs="Times New Roman"/>
      <w:kern w:val="2"/>
      <w:sz w:val="18"/>
      <w:szCs w:val="18"/>
    </w:rPr>
  </w:style>
  <w:style w:type="character" w:customStyle="1" w:styleId="48">
    <w:name w:val="页脚 Char"/>
    <w:link w:val="2"/>
    <w:qFormat/>
    <w:uiPriority w:val="99"/>
    <w:rPr>
      <w:rFonts w:ascii="Times New Roman" w:hAnsi="Times New Roman" w:eastAsia="宋体" w:cs="Times New Roman"/>
      <w:kern w:val="2"/>
      <w:sz w:val="18"/>
      <w:szCs w:val="18"/>
    </w:rPr>
  </w:style>
  <w:style w:type="character" w:customStyle="1" w:styleId="49">
    <w:name w:val="页眉 Char"/>
    <w:basedOn w:val="31"/>
    <w:link w:val="20"/>
    <w:qFormat/>
    <w:uiPriority w:val="99"/>
    <w:rPr>
      <w:kern w:val="2"/>
      <w:sz w:val="18"/>
      <w:szCs w:val="18"/>
    </w:rPr>
  </w:style>
  <w:style w:type="character" w:customStyle="1" w:styleId="50">
    <w:name w:val="标题 Char"/>
    <w:basedOn w:val="31"/>
    <w:link w:val="26"/>
    <w:qFormat/>
    <w:uiPriority w:val="0"/>
    <w:rPr>
      <w:rFonts w:ascii="Cambria" w:hAnsi="Cambria"/>
      <w:b/>
      <w:bCs/>
      <w:kern w:val="2"/>
      <w:sz w:val="36"/>
      <w:szCs w:val="32"/>
    </w:rPr>
  </w:style>
  <w:style w:type="character" w:customStyle="1" w:styleId="51">
    <w:name w:val="批注主题 Char"/>
    <w:basedOn w:val="43"/>
    <w:link w:val="27"/>
    <w:qFormat/>
    <w:uiPriority w:val="0"/>
    <w:rPr>
      <w:rFonts w:ascii="Times New Roman" w:hAnsi="Times New Roman" w:eastAsia="宋体" w:cs="Times New Roman"/>
      <w:b/>
      <w:bCs/>
      <w:kern w:val="2"/>
      <w:sz w:val="24"/>
      <w:szCs w:val="24"/>
    </w:rPr>
  </w:style>
  <w:style w:type="paragraph" w:customStyle="1" w:styleId="52">
    <w:name w:val="*正文"/>
    <w:basedOn w:val="1"/>
    <w:qFormat/>
    <w:uiPriority w:val="0"/>
    <w:pPr>
      <w:keepNext/>
      <w:keepLines/>
      <w:spacing w:line="360" w:lineRule="auto"/>
      <w:ind w:firstLine="200" w:firstLineChars="200"/>
    </w:pPr>
    <w:rPr>
      <w:rFonts w:ascii="宋体" w:hAnsi="宋体"/>
    </w:rPr>
  </w:style>
  <w:style w:type="paragraph" w:customStyle="1" w:styleId="53">
    <w:name w:val="无间隔1"/>
    <w:basedOn w:val="1"/>
    <w:qFormat/>
    <w:uiPriority w:val="1"/>
    <w:pPr>
      <w:spacing w:line="400" w:lineRule="exact"/>
    </w:pPr>
  </w:style>
  <w:style w:type="paragraph" w:customStyle="1" w:styleId="54">
    <w:name w:val="样式"/>
    <w:basedOn w:val="1"/>
    <w:next w:val="55"/>
    <w:qFormat/>
    <w:uiPriority w:val="0"/>
    <w:pPr>
      <w:adjustRightInd w:val="0"/>
      <w:spacing w:beforeAutospacing="1" w:afterAutospacing="1" w:line="360" w:lineRule="atLeast"/>
      <w:ind w:left="572" w:right="32" w:firstLine="478"/>
      <w:textAlignment w:val="baseline"/>
    </w:pPr>
  </w:style>
  <w:style w:type="paragraph" w:customStyle="1" w:styleId="55">
    <w:name w:val="文本块1"/>
    <w:basedOn w:val="1"/>
    <w:qFormat/>
    <w:uiPriority w:val="0"/>
    <w:pPr>
      <w:spacing w:beforeAutospacing="1" w:afterAutospacing="1" w:line="360" w:lineRule="auto"/>
      <w:ind w:left="359" w:leftChars="171" w:right="420" w:rightChars="200" w:firstLine="1"/>
    </w:pPr>
    <w:rPr>
      <w:rFonts w:ascii="宋体" w:hAnsi="宋体" w:cs="宋体"/>
    </w:rPr>
  </w:style>
  <w:style w:type="paragraph" w:customStyle="1" w:styleId="56">
    <w:name w:val="普通(网站)1"/>
    <w:basedOn w:val="1"/>
    <w:qFormat/>
    <w:uiPriority w:val="0"/>
    <w:pPr>
      <w:widowControl/>
      <w:jc w:val="left"/>
    </w:pPr>
    <w:rPr>
      <w:rFonts w:ascii="Helvetica" w:hAnsi="Helvetica" w:cs="Helvetica"/>
      <w:kern w:val="0"/>
    </w:rPr>
  </w:style>
  <w:style w:type="character" w:customStyle="1" w:styleId="57">
    <w:name w:val="15"/>
    <w:qFormat/>
    <w:uiPriority w:val="0"/>
    <w:rPr>
      <w:rFonts w:ascii="Times New Roman" w:hAnsi="Times New Roman" w:cs="Times New Roman"/>
      <w:b/>
      <w:bCs/>
    </w:rPr>
  </w:style>
  <w:style w:type="character" w:customStyle="1" w:styleId="58">
    <w:name w:val="font21"/>
    <w:basedOn w:val="31"/>
    <w:qFormat/>
    <w:uiPriority w:val="0"/>
    <w:rPr>
      <w:rFonts w:hint="eastAsia" w:ascii="宋体" w:hAnsi="宋体" w:eastAsia="宋体" w:cs="宋体"/>
      <w:color w:val="000000"/>
      <w:sz w:val="18"/>
      <w:szCs w:val="18"/>
      <w:u w:val="none"/>
    </w:rPr>
  </w:style>
  <w:style w:type="paragraph" w:customStyle="1" w:styleId="59">
    <w:name w:val="列出段落1"/>
    <w:basedOn w:val="1"/>
    <w:qFormat/>
    <w:uiPriority w:val="34"/>
    <w:pPr>
      <w:ind w:firstLine="420" w:firstLineChars="200"/>
    </w:pPr>
  </w:style>
  <w:style w:type="paragraph" w:customStyle="1" w:styleId="60">
    <w:name w:val="星非-小"/>
    <w:basedOn w:val="1"/>
    <w:qFormat/>
    <w:uiPriority w:val="0"/>
    <w:pPr>
      <w:spacing w:line="480" w:lineRule="exact"/>
      <w:ind w:left="830" w:leftChars="150" w:hanging="534" w:hangingChars="200"/>
      <w:jc w:val="left"/>
    </w:pPr>
    <w:rPr>
      <w:rFonts w:ascii="仿宋_GB2312" w:hAnsi="仿宋_GB2312" w:eastAsia="仿宋_GB2312" w:cs="宋体"/>
      <w:snapToGrid w:val="0"/>
      <w:kern w:val="0"/>
      <w:sz w:val="28"/>
      <w:szCs w:val="20"/>
    </w:rPr>
  </w:style>
  <w:style w:type="paragraph" w:customStyle="1" w:styleId="61">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62">
    <w:name w:val="WPSOffice手动目录 1"/>
    <w:qFormat/>
    <w:uiPriority w:val="0"/>
    <w:rPr>
      <w:rFonts w:ascii="Times New Roman" w:hAnsi="Times New Roman" w:eastAsia="宋体" w:cs="Times New Roman"/>
      <w:lang w:val="en-US" w:eastAsia="zh-CN" w:bidi="ar-SA"/>
    </w:rPr>
  </w:style>
  <w:style w:type="paragraph" w:customStyle="1" w:styleId="63">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4">
    <w:name w:val="WPSOffice手动目录 3"/>
    <w:qFormat/>
    <w:uiPriority w:val="0"/>
    <w:pPr>
      <w:ind w:left="400" w:leftChars="400"/>
    </w:pPr>
    <w:rPr>
      <w:rFonts w:ascii="Times New Roman" w:hAnsi="Times New Roman" w:eastAsia="宋体" w:cs="Times New Roman"/>
      <w:lang w:val="en-US" w:eastAsia="zh-CN" w:bidi="ar-SA"/>
    </w:rPr>
  </w:style>
  <w:style w:type="character" w:customStyle="1" w:styleId="65">
    <w:name w:val="font01"/>
    <w:basedOn w:val="31"/>
    <w:qFormat/>
    <w:uiPriority w:val="0"/>
    <w:rPr>
      <w:rFonts w:hint="eastAsia" w:ascii="宋体" w:hAnsi="宋体" w:eastAsia="宋体" w:cs="宋体"/>
      <w:color w:val="000000"/>
      <w:sz w:val="20"/>
      <w:szCs w:val="20"/>
      <w:u w:val="none"/>
    </w:rPr>
  </w:style>
  <w:style w:type="character" w:customStyle="1" w:styleId="66">
    <w:name w:val="font41"/>
    <w:basedOn w:val="31"/>
    <w:qFormat/>
    <w:uiPriority w:val="0"/>
    <w:rPr>
      <w:rFonts w:ascii="宋体" w:hAnsi="宋体" w:eastAsia="宋体" w:cs="宋体"/>
      <w:color w:val="000000"/>
      <w:sz w:val="20"/>
      <w:szCs w:val="20"/>
      <w:u w:val="none"/>
    </w:rPr>
  </w:style>
  <w:style w:type="character" w:customStyle="1" w:styleId="67">
    <w:name w:val="font31"/>
    <w:basedOn w:val="31"/>
    <w:qFormat/>
    <w:uiPriority w:val="0"/>
    <w:rPr>
      <w:rFonts w:hint="eastAsia" w:ascii="宋体" w:hAnsi="宋体" w:eastAsia="宋体" w:cs="宋体"/>
      <w:color w:val="000000"/>
      <w:sz w:val="20"/>
      <w:szCs w:val="20"/>
      <w:u w:val="none"/>
    </w:rPr>
  </w:style>
  <w:style w:type="character" w:customStyle="1" w:styleId="68">
    <w:name w:val="font11"/>
    <w:basedOn w:val="31"/>
    <w:qFormat/>
    <w:uiPriority w:val="0"/>
    <w:rPr>
      <w:rFonts w:hint="eastAsia" w:ascii="宋体" w:hAnsi="宋体" w:eastAsia="宋体" w:cs="宋体"/>
      <w:color w:val="000000"/>
      <w:sz w:val="20"/>
      <w:szCs w:val="20"/>
      <w:u w:val="none"/>
    </w:rPr>
  </w:style>
  <w:style w:type="paragraph" w:customStyle="1" w:styleId="69">
    <w:name w:val="无间隔2"/>
    <w:basedOn w:val="1"/>
    <w:qFormat/>
    <w:uiPriority w:val="1"/>
    <w:pPr>
      <w:spacing w:line="400" w:lineRule="exact"/>
    </w:pPr>
  </w:style>
  <w:style w:type="paragraph" w:customStyle="1" w:styleId="70">
    <w:name w:val="无间隔21"/>
    <w:basedOn w:val="1"/>
    <w:qFormat/>
    <w:uiPriority w:val="1"/>
    <w:pPr>
      <w:spacing w:line="400" w:lineRule="exact"/>
    </w:pPr>
  </w:style>
  <w:style w:type="paragraph" w:customStyle="1" w:styleId="71">
    <w:name w:val="列表段落1"/>
    <w:basedOn w:val="1"/>
    <w:qFormat/>
    <w:uiPriority w:val="0"/>
    <w:pPr>
      <w:ind w:firstLine="420" w:firstLineChars="200"/>
    </w:pPr>
    <w:rPr>
      <w:rFonts w:ascii="Calibri" w:hAnsi="Calibri"/>
    </w:rPr>
  </w:style>
  <w:style w:type="character" w:customStyle="1" w:styleId="72">
    <w:name w:val="ca-121"/>
    <w:basedOn w:val="31"/>
    <w:qFormat/>
    <w:uiPriority w:val="0"/>
    <w:rPr>
      <w:rFonts w:hint="eastAsia" w:ascii="宋体" w:hAnsi="宋体" w:eastAsia="宋体"/>
      <w:sz w:val="24"/>
      <w:szCs w:val="24"/>
    </w:rPr>
  </w:style>
  <w:style w:type="character" w:customStyle="1" w:styleId="73">
    <w:name w:val="font71"/>
    <w:basedOn w:val="31"/>
    <w:qFormat/>
    <w:uiPriority w:val="0"/>
    <w:rPr>
      <w:rFonts w:hint="eastAsia" w:ascii="宋体" w:hAnsi="宋体" w:eastAsia="宋体" w:cs="宋体"/>
      <w:color w:val="FF0000"/>
      <w:sz w:val="18"/>
      <w:szCs w:val="18"/>
      <w:u w:val="none"/>
    </w:rPr>
  </w:style>
  <w:style w:type="paragraph" w:customStyle="1" w:styleId="74">
    <w:name w:val="Table Paragraph"/>
    <w:basedOn w:val="1"/>
    <w:qFormat/>
    <w:uiPriority w:val="1"/>
    <w:rPr>
      <w:rFonts w:ascii="宋体" w:hAnsi="宋体" w:cs="宋体"/>
      <w:lang w:eastAsia="en-US" w:bidi="en-US"/>
    </w:rPr>
  </w:style>
  <w:style w:type="paragraph" w:styleId="75">
    <w:name w:val="List Paragraph"/>
    <w:basedOn w:val="1"/>
    <w:qFormat/>
    <w:uiPriority w:val="34"/>
    <w:pPr>
      <w:ind w:left="175"/>
    </w:pPr>
    <w:rPr>
      <w:rFonts w:ascii="宋体" w:hAnsi="宋体" w:cs="宋体"/>
      <w:lang w:eastAsia="en-US" w:bidi="en-US"/>
    </w:rPr>
  </w:style>
  <w:style w:type="character" w:customStyle="1" w:styleId="76">
    <w:name w:val="font81"/>
    <w:basedOn w:val="31"/>
    <w:qFormat/>
    <w:uiPriority w:val="0"/>
    <w:rPr>
      <w:rFonts w:hint="eastAsia" w:ascii="宋体" w:hAnsi="宋体" w:eastAsia="宋体" w:cs="宋体"/>
      <w:color w:val="FF0000"/>
      <w:sz w:val="21"/>
      <w:szCs w:val="21"/>
      <w:u w:val="none"/>
    </w:rPr>
  </w:style>
  <w:style w:type="character" w:customStyle="1" w:styleId="77">
    <w:name w:val="font61"/>
    <w:basedOn w:val="31"/>
    <w:qFormat/>
    <w:uiPriority w:val="0"/>
    <w:rPr>
      <w:rFonts w:hint="eastAsia" w:ascii="宋体" w:hAnsi="宋体" w:eastAsia="宋体" w:cs="宋体"/>
      <w:color w:val="000000"/>
      <w:sz w:val="20"/>
      <w:szCs w:val="20"/>
      <w:u w:val="none"/>
    </w:rPr>
  </w:style>
  <w:style w:type="character" w:customStyle="1" w:styleId="78">
    <w:name w:val="font101"/>
    <w:basedOn w:val="31"/>
    <w:qFormat/>
    <w:uiPriority w:val="0"/>
    <w:rPr>
      <w:rFonts w:hint="eastAsia" w:ascii="宋体" w:hAnsi="宋体" w:eastAsia="宋体" w:cs="宋体"/>
      <w:color w:val="000000"/>
      <w:sz w:val="21"/>
      <w:szCs w:val="21"/>
      <w:u w:val="none"/>
    </w:rPr>
  </w:style>
  <w:style w:type="character" w:customStyle="1" w:styleId="79">
    <w:name w:val="font121"/>
    <w:basedOn w:val="31"/>
    <w:qFormat/>
    <w:uiPriority w:val="0"/>
    <w:rPr>
      <w:rFonts w:hint="eastAsia" w:ascii="宋体" w:hAnsi="宋体" w:eastAsia="宋体" w:cs="宋体"/>
      <w:color w:val="FF0000"/>
      <w:sz w:val="21"/>
      <w:szCs w:val="21"/>
      <w:u w:val="none"/>
    </w:rPr>
  </w:style>
  <w:style w:type="paragraph" w:customStyle="1" w:styleId="80">
    <w:name w:val="cjk"/>
    <w:basedOn w:val="1"/>
    <w:qFormat/>
    <w:uiPriority w:val="0"/>
    <w:pPr>
      <w:widowControl/>
      <w:spacing w:before="100" w:beforeAutospacing="1" w:after="100" w:afterAutospacing="1"/>
      <w:jc w:val="left"/>
    </w:pPr>
    <w:rPr>
      <w:rFonts w:ascii="宋体" w:hAnsi="宋体" w:cs="宋体"/>
      <w:kern w:val="0"/>
    </w:rPr>
  </w:style>
  <w:style w:type="character" w:customStyle="1" w:styleId="81">
    <w:name w:val="NormalCharacter"/>
    <w:qFormat/>
    <w:uiPriority w:val="0"/>
  </w:style>
  <w:style w:type="character" w:customStyle="1" w:styleId="82">
    <w:name w:val="font51"/>
    <w:basedOn w:val="31"/>
    <w:qFormat/>
    <w:uiPriority w:val="0"/>
    <w:rPr>
      <w:rFonts w:ascii="苹方-简 常规体" w:hAnsi="苹方-简 常规体" w:eastAsia="苹方-简 常规体" w:cs="苹方-简 常规体"/>
      <w:color w:val="000000"/>
      <w:sz w:val="21"/>
      <w:szCs w:val="21"/>
      <w:u w:val="none"/>
    </w:rPr>
  </w:style>
  <w:style w:type="paragraph" w:customStyle="1" w:styleId="83">
    <w:name w:val="BodyText1I"/>
    <w:basedOn w:val="1"/>
    <w:qFormat/>
    <w:uiPriority w:val="0"/>
    <w:pPr>
      <w:spacing w:after="120"/>
      <w:ind w:firstLine="420" w:firstLineChars="100"/>
      <w:textAlignment w:val="baseline"/>
    </w:pPr>
    <w:rPr>
      <w:sz w:val="21"/>
    </w:rPr>
  </w:style>
  <w:style w:type="character" w:customStyle="1" w:styleId="84">
    <w:name w:val="font91"/>
    <w:basedOn w:val="31"/>
    <w:qFormat/>
    <w:uiPriority w:val="0"/>
    <w:rPr>
      <w:rFonts w:ascii="Calibri" w:hAnsi="Calibri" w:cs="Calibri"/>
      <w:color w:val="000000"/>
      <w:sz w:val="20"/>
      <w:szCs w:val="20"/>
      <w:u w:val="none"/>
    </w:rPr>
  </w:style>
  <w:style w:type="character" w:customStyle="1" w:styleId="85">
    <w:name w:val="font131"/>
    <w:basedOn w:val="31"/>
    <w:qFormat/>
    <w:uiPriority w:val="0"/>
    <w:rPr>
      <w:rFonts w:hint="default" w:ascii="Times New Roman" w:hAnsi="Times New Roman" w:cs="Times New Roman"/>
      <w:color w:val="000000"/>
      <w:sz w:val="20"/>
      <w:szCs w:val="20"/>
      <w:u w:val="none"/>
    </w:rPr>
  </w:style>
  <w:style w:type="character" w:customStyle="1" w:styleId="86">
    <w:name w:val="font111"/>
    <w:basedOn w:val="31"/>
    <w:qFormat/>
    <w:uiPriority w:val="0"/>
    <w:rPr>
      <w:rFonts w:ascii="Arial" w:hAnsi="Arial" w:cs="Arial"/>
      <w:color w:val="000000"/>
      <w:sz w:val="18"/>
      <w:szCs w:val="18"/>
      <w:u w:val="none"/>
    </w:rPr>
  </w:style>
  <w:style w:type="character" w:customStyle="1" w:styleId="87">
    <w:name w:val="font151"/>
    <w:basedOn w:val="31"/>
    <w:qFormat/>
    <w:uiPriority w:val="0"/>
    <w:rPr>
      <w:rFonts w:hint="default" w:ascii="Times New Roman" w:hAnsi="Times New Roman" w:cs="Times New Roman"/>
      <w:color w:val="000000"/>
      <w:sz w:val="20"/>
      <w:szCs w:val="20"/>
      <w:u w:val="none"/>
    </w:rPr>
  </w:style>
  <w:style w:type="paragraph" w:customStyle="1" w:styleId="88">
    <w:name w:val="TOC 标题1"/>
    <w:basedOn w:val="4"/>
    <w:next w:val="1"/>
    <w:semiHidden/>
    <w:unhideWhenUsed/>
    <w:qFormat/>
    <w:uiPriority w:val="39"/>
    <w:pPr>
      <w:keepLines/>
      <w:widowControl/>
      <w:spacing w:before="480" w:line="276" w:lineRule="auto"/>
      <w:ind w:firstLine="0" w:firstLineChars="0"/>
      <w:outlineLvl w:val="9"/>
    </w:pPr>
    <w:rPr>
      <w:rFonts w:asciiTheme="majorHAnsi" w:hAnsiTheme="majorHAnsi" w:eastAsiaTheme="majorEastAsia" w:cstheme="majorBidi"/>
      <w:bCs/>
      <w:color w:val="376092" w:themeColor="accent1" w:themeShade="BF"/>
      <w:kern w:val="0"/>
      <w:sz w:val="28"/>
      <w:szCs w:val="28"/>
    </w:rPr>
  </w:style>
  <w:style w:type="character" w:customStyle="1" w:styleId="89">
    <w:name w:val="正文文本缩进 2 Char"/>
    <w:basedOn w:val="31"/>
    <w:link w:val="18"/>
    <w:qFormat/>
    <w:uiPriority w:val="99"/>
    <w:rPr>
      <w:kern w:val="2"/>
      <w:sz w:val="24"/>
      <w:szCs w:val="24"/>
    </w:rPr>
  </w:style>
  <w:style w:type="character" w:customStyle="1" w:styleId="90">
    <w:name w:val="正文缩进 Char"/>
    <w:link w:val="8"/>
    <w:qFormat/>
    <w:uiPriority w:val="0"/>
    <w:rPr>
      <w:kern w:val="2"/>
      <w:sz w:val="24"/>
    </w:rPr>
  </w:style>
  <w:style w:type="paragraph" w:customStyle="1" w:styleId="91">
    <w:name w:val="正文格式"/>
    <w:basedOn w:val="1"/>
    <w:qFormat/>
    <w:uiPriority w:val="99"/>
    <w:pPr>
      <w:snapToGrid w:val="0"/>
      <w:spacing w:line="360" w:lineRule="auto"/>
      <w:ind w:firstLine="200" w:firstLineChars="200"/>
    </w:pPr>
    <w:rPr>
      <w:rFonts w:ascii="Calibri" w:hAnsi="Calibri"/>
      <w:szCs w:val="20"/>
    </w:rPr>
  </w:style>
  <w:style w:type="paragraph" w:customStyle="1" w:styleId="92">
    <w:name w:val="正文首行缩进1"/>
    <w:basedOn w:val="11"/>
    <w:qFormat/>
    <w:uiPriority w:val="0"/>
    <w:pPr>
      <w:spacing w:line="312" w:lineRule="auto"/>
      <w:ind w:firstLine="420"/>
    </w:pPr>
  </w:style>
  <w:style w:type="paragraph" w:customStyle="1" w:styleId="93">
    <w:name w:val="List Paragraph1"/>
    <w:basedOn w:val="1"/>
    <w:next w:val="1"/>
    <w:qFormat/>
    <w:uiPriority w:val="0"/>
    <w:pPr>
      <w:widowControl/>
      <w:spacing w:line="360" w:lineRule="auto"/>
      <w:ind w:firstLine="480" w:firstLineChars="200"/>
      <w:jc w:val="left"/>
    </w:pPr>
    <w:rPr>
      <w:rFonts w:ascii="宋体" w:hAnsi="宋体"/>
    </w:rPr>
  </w:style>
  <w:style w:type="table" w:customStyle="1" w:styleId="94">
    <w:name w:val="Table Normal"/>
    <w:semiHidden/>
    <w:unhideWhenUsed/>
    <w:qFormat/>
    <w:uiPriority w:val="2"/>
    <w:pPr>
      <w:widowControl w:val="0"/>
      <w:autoSpaceDE w:val="0"/>
      <w:autoSpaceDN w:val="0"/>
    </w:pPr>
    <w:rPr>
      <w:rFonts w:asciiTheme="minorHAnsi" w:hAnsiTheme="minorHAnsi" w:eastAsiaTheme="minorEastAsia" w:cstheme="minorBidi"/>
      <w:sz w:val="22"/>
      <w:lang w:eastAsia="en-US"/>
    </w:rPr>
    <w:tblPr>
      <w:tblCellMar>
        <w:top w:w="0" w:type="dxa"/>
        <w:left w:w="0" w:type="dxa"/>
        <w:bottom w:w="0" w:type="dxa"/>
        <w:right w:w="0" w:type="dxa"/>
      </w:tblCellMar>
    </w:tblPr>
  </w:style>
  <w:style w:type="table" w:customStyle="1" w:styleId="95">
    <w:name w:val="网格型1"/>
    <w:basedOn w:val="29"/>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6">
    <w:name w:val="标题 4 Char"/>
    <w:basedOn w:val="31"/>
    <w:link w:val="7"/>
    <w:semiHidden/>
    <w:qFormat/>
    <w:uiPriority w:val="0"/>
    <w:rPr>
      <w:rFonts w:ascii="Arial" w:hAnsi="Arial"/>
      <w:b/>
      <w:kern w:val="2"/>
      <w:sz w:val="24"/>
      <w:szCs w:val="22"/>
    </w:rPr>
  </w:style>
  <w:style w:type="character" w:customStyle="1" w:styleId="97">
    <w:name w:val="正文首行缩进 2 Char"/>
    <w:basedOn w:val="44"/>
    <w:link w:val="28"/>
    <w:qFormat/>
    <w:uiPriority w:val="0"/>
    <w:rPr>
      <w:rFonts w:ascii="Calibri" w:hAnsi="Calibri"/>
      <w:kern w:val="2"/>
      <w:sz w:val="24"/>
      <w:szCs w:val="24"/>
    </w:rPr>
  </w:style>
  <w:style w:type="table" w:customStyle="1" w:styleId="98">
    <w:name w:val="网格型2"/>
    <w:basedOn w:val="29"/>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9">
    <w:name w:val="网格型11"/>
    <w:basedOn w:val="29"/>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0">
    <w:name w:val="信息标题 Char"/>
    <w:basedOn w:val="31"/>
    <w:link w:val="23"/>
    <w:qFormat/>
    <w:uiPriority w:val="0"/>
    <w:rPr>
      <w:rFonts w:ascii="Arial" w:hAnsi="Arial"/>
      <w:kern w:val="2"/>
      <w:sz w:val="24"/>
      <w:szCs w:val="24"/>
      <w:shd w:val="pct20" w:color="auto" w:fill="auto"/>
    </w:rPr>
  </w:style>
  <w:style w:type="paragraph" w:customStyle="1" w:styleId="101">
    <w:name w:val="中等深浅网格 1 - 强调文字颜色 21"/>
    <w:qFormat/>
    <w:uiPriority w:val="0"/>
    <w:pPr>
      <w:widowControl w:val="0"/>
      <w:ind w:firstLine="420" w:firstLineChars="200"/>
      <w:jc w:val="both"/>
    </w:pPr>
    <w:rPr>
      <w:rFonts w:ascii="Times New Roman" w:hAnsi="Times New Roman" w:eastAsia="宋体" w:cs="Times New Roman"/>
      <w:lang w:val="en-US" w:eastAsia="zh-CN" w:bidi="ar-SA"/>
    </w:rPr>
  </w:style>
  <w:style w:type="paragraph" w:customStyle="1" w:styleId="102">
    <w:name w:val="TOC 标题2"/>
    <w:basedOn w:val="4"/>
    <w:next w:val="1"/>
    <w:semiHidden/>
    <w:unhideWhenUsed/>
    <w:qFormat/>
    <w:uiPriority w:val="39"/>
    <w:pPr>
      <w:keepLines/>
      <w:widowControl/>
      <w:spacing w:before="480" w:line="276" w:lineRule="auto"/>
      <w:ind w:firstLine="0" w:firstLineChars="0"/>
      <w:outlineLvl w:val="9"/>
    </w:pPr>
    <w:rPr>
      <w:rFonts w:asciiTheme="majorHAnsi" w:hAnsiTheme="majorHAnsi" w:eastAsiaTheme="majorEastAsia" w:cstheme="majorBidi"/>
      <w:bCs/>
      <w:color w:val="376092" w:themeColor="accent1" w:themeShade="BF"/>
      <w:kern w:val="0"/>
      <w:sz w:val="28"/>
      <w:szCs w:val="28"/>
    </w:rPr>
  </w:style>
  <w:style w:type="paragraph" w:customStyle="1" w:styleId="10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debfe60e-fa0f-4b81-8cfa-4bb5d7965cc7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541BE2F3</paraID>
      <start>0</start>
      <end>2</end>
      <status>unmodified</status>
      <modifiedWord/>
      <trackRevisions>false</trackRevisions>
    </reviewItem>
    <reviewItem>
      <errorID>2dab8717-19ad-4f09-ba89-9f355e3c7249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B4FA224</paraID>
      <start>0</start>
      <end>2</end>
      <status>unmodified</status>
      <modifiedWord/>
      <trackRevisions>false</trackRevisions>
    </reviewItem>
    <reviewItem>
      <errorID>b598de0e-0fbf-402c-86d6-3634840adcee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1DF99E21</paraID>
      <start>0</start>
      <end>2</end>
      <status>unmodified</status>
      <modifiedWord/>
      <trackRevisions>false</trackRevisions>
    </reviewItem>
    <reviewItem>
      <errorID>bf825541-6311-4364-8d2d-1025a171a503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55DF7640</paraID>
      <start>0</start>
      <end>2</end>
      <status>unmodified</status>
      <modifiedWord/>
      <trackRevisions>false</trackRevisions>
    </reviewItem>
    <reviewItem>
      <errorID>860a3923-bf39-43f7-ae30-c85642543e63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1D1E3D37</paraID>
      <start>0</start>
      <end>2</end>
      <status>unmodified</status>
      <modifiedWord/>
      <trackRevisions>false</trackRevisions>
    </reviewItem>
    <reviewItem>
      <errorID>98863249-8e50-4f75-8c45-728e8a068530</errorID>
      <errorWord>：/</errorWord>
      <group>L1_Punc</group>
      <groupName>标点问题</groupName>
      <ability>L2_Punc</ability>
      <abilityName>标点符号检查</abilityName>
      <candidateList>
        <item>：</item>
      </candidateList>
      <explain/>
      <paraID>1D1E3D37</paraID>
      <start>8</start>
      <end>10</end>
      <status>unmodified</status>
      <modifiedWord/>
      <trackRevisions>false</trackRevisions>
    </reviewItem>
    <reviewItem>
      <errorID>40baebaf-4b4a-418c-8ff7-ed2a1048a24d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3052C14C</paraID>
      <start>0</start>
      <end>2</end>
      <status>unmodified</status>
      <modifiedWord/>
      <trackRevisions>false</trackRevisions>
    </reviewItem>
    <reviewItem>
      <errorID>88c555e9-f13a-4054-a86f-82e27d7c75b5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7D104A84</paraID>
      <start>0</start>
      <end>2</end>
      <status>unmodified</status>
      <modifiedWord/>
      <trackRevisions>false</trackRevisions>
    </reviewItem>
    <reviewItem>
      <errorID>fc9dedcf-2b1f-4240-8ae8-a936984a1e98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1F513C0E</paraID>
      <start>0</start>
      <end>2</end>
      <status>unmodified</status>
      <modifiedWord/>
      <trackRevisions>false</trackRevisions>
    </reviewItem>
    <reviewItem>
      <errorID>86fc7cd5-46d4-4c3b-9847-0fc2b41d92d1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16D9FC98</paraID>
      <start>0</start>
      <end>2</end>
      <status>unmodified</status>
      <modifiedWord/>
      <trackRevisions>false</trackRevisions>
    </reviewItem>
    <reviewItem>
      <errorID>351f1a51-63da-4ebe-b19b-fefde9f9f7e3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68E31B37</paraID>
      <start>0</start>
      <end>2</end>
      <status>unmodified</status>
      <modifiedWord/>
      <trackRevisions>false</trackRevisions>
    </reviewItem>
    <reviewItem>
      <errorID>b1de876e-2b0c-4d24-bd53-3e118fc03397</errorID>
      <errorWord>：/；</errorWord>
      <group>L1_Punc</group>
      <groupName>标点问题</groupName>
      <ability>L2_Punc</ability>
      <abilityName>标点符号检查</abilityName>
      <candidateList>
        <item>：</item>
      </candidateList>
      <explain/>
      <paraID>68E31B37</paraID>
      <start>17</start>
      <end>20</end>
      <status>unmodified</status>
      <modifiedWord/>
      <trackRevisions>false</trackRevisions>
    </reviewItem>
    <reviewItem>
      <errorID>636ffe77-9f70-493d-8b14-bebcaf8c5527</errorID>
      <errorWord>因就</errorWord>
      <group>L1_Word</group>
      <groupName>字词问题</groupName>
      <ability>L2_Typo</ability>
      <abilityName>字词错误</abilityName>
      <candidateList>
        <item>因</item>
      </candidateList>
      <explain/>
      <paraID>5D5E9933</paraID>
      <start>35</start>
      <end>37</end>
      <status>unmodified</status>
      <modifiedWord/>
      <trackRevisions>false</trackRevisions>
    </reviewItem>
    <reviewItem>
      <errorID>17491653-e160-42ad-a612-242009f4e303</errorID>
      <errorWord>上午00:00</errorWord>
      <group>L1_Knowledge</group>
      <groupName>知识性问题</groupName>
      <ability>L2_Time</ability>
      <abilityName>日期时间</abilityName>
      <candidateList/>
      <explain>时间与前缀不匹配，可能的时间前缀有“下午、晚上、凌晨、午夜”。</explain>
      <paraID> 95044D3</paraID>
      <start>33</start>
      <end>40</end>
      <status>unmodified</status>
      <modifiedWord/>
      <trackRevisions>false</trackRevisions>
    </reviewItem>
    <reviewItem>
      <errorID>ac7783a2-6a4a-4d28-87fd-fac91369cbdf</errorID>
      <errorWord>提出质疑</errorWord>
      <group>L1_Word</group>
      <groupName>字词问题</groupName>
      <ability>L2_Typo</ability>
      <abilityName>字词错误</abilityName>
      <candidateList>
        <item>质疑</item>
      </candidateList>
      <explain>〈动〉提出疑问：～问难。</explain>
      <paraID>34CE0428</paraID>
      <start>86</start>
      <end>90</end>
      <status>unmodified</status>
      <modifiedWord/>
      <trackRevisions>false</trackRevisions>
    </reviewItem>
    <reviewItem>
      <errorID>b951bbff-0ccb-4797-ad0e-129a3ba3ffc6</errorID>
      <errorWord>.</errorWord>
      <group>L1_Format</group>
      <groupName>格式问题</groupName>
      <ability>L2_HalfPunc</ability>
      <abilityName>全半角检查</abilityName>
      <candidateList>
        <item>。</item>
      </candidateList>
      <explain>文本全半角错误。</explain>
      <paraID>77868FB1</paraID>
      <start>98</start>
      <end>99</end>
      <status>unmodified</status>
      <modifiedWord/>
      <trackRevisions>false</trackRevisions>
    </reviewItem>
    <reviewItem>
      <errorID>6ef82084-5708-4100-a100-e655d70cf337</errorID>
      <errorWord>.</errorWord>
      <group>L1_Format</group>
      <groupName>格式问题</groupName>
      <ability>L2_HalfPunc</ability>
      <abilityName>全半角检查</abilityName>
      <candidateList>
        <item>。</item>
      </candidateList>
      <explain>文本全半角错误。</explain>
      <paraID>77868FB1</paraID>
      <start>140</start>
      <end>141</end>
      <status>unmodified</status>
      <modifiedWord/>
      <trackRevisions>false</trackRevisions>
    </reviewItem>
    <reviewItem>
      <errorID>b51b070f-2917-4157-a939-de2c07059705</errorID>
      <errorWord>尽早地</errorWord>
      <group>L1_Word</group>
      <groupName>字词问题</groupName>
      <ability>L2_Typo</ability>
      <abilityName>字词错误</abilityName>
      <candidateList>
        <item>尽早</item>
      </candidateList>
      <explain>〈副〉表示尽可能地提前：用完请～送回。</explain>
      <paraID>642AF97F</paraID>
      <start>44</start>
      <end>47</end>
      <status>unmodified</status>
      <modifiedWord/>
      <trackRevisions>false</trackRevisions>
    </reviewItem>
    <reviewItem>
      <errorID>f1d7895e-5782-4771-af4a-d3bf4540372a</errorID>
      <errorWord>充分考虑到</errorWord>
      <group>L1_Word</group>
      <groupName>字词问题</groupName>
      <ability>L2_Typo</ability>
      <abilityName>字词错误</abilityName>
      <candidateList>
        <item>充分考虑</item>
      </candidateList>
      <explain/>
      <paraID>642AF97F</paraID>
      <start>73</start>
      <end>78</end>
      <status>unmodified</status>
      <modifiedWord/>
      <trackRevisions>false</trackRevisions>
    </reviewItem>
    <reviewItem>
      <errorID>dce3eaad-35c7-4da2-b79c-acfe9ecbf5ff</errorID>
      <errorWord>【2023】002号</errorWord>
      <group>L1_Knowledge</group>
      <groupName>知识性问题</groupName>
      <ability>L2_Knowledge</ability>
      <abilityName>其他知识</abilityName>
      <candidateList>
        <item>〔2023〕2号</item>
      </candidateList>
      <explain>发文字号格式错误。</explain>
      <paraID>59B0B48B</paraID>
      <start>5</start>
      <end>15</end>
      <status>unmodified</status>
      <modifiedWord/>
      <trackRevisions>false</trackRevisions>
    </reviewItem>
    <reviewItem>
      <errorID>40d106af-b208-4cc2-85c8-a10a191e3424</errorID>
      <errorWord>.</errorWord>
      <group>L1_Format</group>
      <groupName>格式问题</groupName>
      <ability>L2_HalfPunc</ability>
      <abilityName>全半角检查</abilityName>
      <candidateList>
        <item>。</item>
      </candidateList>
      <explain>文本全半角错误。</explain>
      <paraID>5E5E3256</paraID>
      <start>96</start>
      <end>97</end>
      <status>unmodified</status>
      <modifiedWord/>
      <trackRevisions>false</trackRevisions>
    </reviewItem>
    <reviewItem>
      <errorID>2c5115c9-ad18-4ed5-8e00-596e00e76bc5</errorID>
      <errorWord>.</errorWord>
      <group>L1_Format</group>
      <groupName>格式问题</groupName>
      <ability>L2_HalfPunc</ability>
      <abilityName>全半角检查</abilityName>
      <candidateList>
        <item>。</item>
      </candidateList>
      <explain>文本全半角错误。</explain>
      <paraID>5E5E3256</paraID>
      <start>135</start>
      <end>136</end>
      <status>unmodified</status>
      <modifiedWord/>
      <trackRevisions>false</trackRevisions>
    </reviewItem>
    <reviewItem>
      <errorID>4426f9f2-913a-4e43-880e-4f2d997ef9d4</errorID>
      <errorWord>尽早地</errorWord>
      <group>L1_Word</group>
      <groupName>字词问题</groupName>
      <ability>L2_Typo</ability>
      <abilityName>字词错误</abilityName>
      <candidateList>
        <item>尽早</item>
      </candidateList>
      <explain>〈副〉表示尽可能地提前：用完请～送回。</explain>
      <paraID>747201F8</paraID>
      <start>44</start>
      <end>47</end>
      <status>unmodified</status>
      <modifiedWord/>
      <trackRevisions>false</trackRevisions>
    </reviewItem>
    <reviewItem>
      <errorID>3f4a029e-5948-4f0b-9bb2-4b20eae4fae1</errorID>
      <errorWord>充分考虑到</errorWord>
      <group>L1_Word</group>
      <groupName>字词问题</groupName>
      <ability>L2_Typo</ability>
      <abilityName>字词错误</abilityName>
      <candidateList>
        <item>充分考虑</item>
      </candidateList>
      <explain/>
      <paraID>747201F8</paraID>
      <start>73</start>
      <end>78</end>
      <status>unmodified</status>
      <modifiedWord/>
      <trackRevisions>false</trackRevisions>
    </reviewItem>
    <reviewItem>
      <errorID>bd4ce0ef-1906-4dc2-91ba-5a8824d4e571</errorID>
      <errorWord>如果是</errorWord>
      <group>L1_Word</group>
      <groupName>字词问题</groupName>
      <ability>L2_Typo</ability>
      <abilityName>字词错误</abilityName>
      <candidateList>
        <item>如果</item>
      </candidateList>
      <explain>〈连〉表示假设：你～有困难，我可以帮助你。</explain>
      <paraID>4F274BE9</paraID>
      <start>3</start>
      <end>6</end>
      <status>unmodified</status>
      <modifiedWord/>
      <trackRevisions>false</trackRevisions>
    </reviewItem>
    <reviewItem>
      <errorID>6f56b393-c536-4a24-b422-016ad3bef078</errorID>
      <errorWord>所必须的</errorWord>
      <group>L1_Word</group>
      <groupName>字词问题</groupName>
      <ability>L2_Typo</ability>
      <abilityName>字词错误</abilityName>
      <candidateList>
        <item>所必需的</item>
      </candidateList>
      <explain/>
      <paraID> F59345F</paraID>
      <start>6</start>
      <end>10</end>
      <status>unmodified</status>
      <modifiedWord/>
      <trackRevisions>false</trackRevisions>
    </reviewItem>
    <reviewItem>
      <errorID>c2041c3b-a868-45d2-8db0-9ababb6c512c</errorID>
      <errorWord>性</errorWord>
      <group>L1_Word</group>
      <groupName>字词问题</groupName>
      <ability>L2_Typo</ability>
      <abilityName>字词错误</abilityName>
      <candidateList>
        <item>性和</item>
      </candidateList>
      <explain/>
      <paraID> DA63E72</paraID>
      <start>10</start>
      <end>11</end>
      <status>unmodified</status>
      <modifiedWord/>
      <trackRevisions>false</trackRevisions>
    </reviewItem>
    <reviewItem>
      <errorID>7ea7f5ff-3c80-41c1-9226-fbf8834faf39</errorID>
      <errorWord>性</errorWord>
      <group>L1_Word</group>
      <groupName>字词问题</groupName>
      <ability>L2_Typo</ability>
      <abilityName>字词错误</abilityName>
      <candidateList>
        <item>性和</item>
      </candidateList>
      <explain/>
      <paraID>5949865A</paraID>
      <start>7</start>
      <end>8</end>
      <status>unmodified</status>
      <modifiedWord/>
      <trackRevisions>false</trackRevisions>
    </reviewItem>
    <reviewItem>
      <errorID>ef4b65b9-3bb3-4030-9fca-e79e63d50591</errorID>
      <errorWord>性</errorWord>
      <group>L1_Word</group>
      <groupName>字词问题</groupName>
      <ability>L2_Typo</ability>
      <abilityName>字词错误</abilityName>
      <candidateList>
        <item>性和</item>
      </candidateList>
      <explain/>
      <paraID>26B04C70</paraID>
      <start>9</start>
      <end>10</end>
      <status>unmodified</status>
      <modifiedWord/>
      <trackRevisions>false</trackRevisions>
    </reviewItem>
    <reviewItem>
      <errorID>808113d4-f69b-474e-8ca8-8054e9312b66</errorID>
      <errorWord>方案施</errorWord>
      <group>L1_Word</group>
      <groupName>字词问题</groupName>
      <ability>L2_Typo</ability>
      <abilityName>字词错误</abilityName>
      <candidateList>
        <item>方案</item>
      </candidateList>
      <explain/>
      <paraID>33DB44B0</paraID>
      <start>35</start>
      <end>38</end>
      <status>unmodified</status>
      <modifiedWord/>
      <trackRevisions>false</trackRevisions>
    </reviewItem>
    <reviewItem>
      <errorID>dfde3f3f-896d-4c02-8beb-33e85ecf1506</errorID>
      <errorWord>同</errorWord>
      <group>L1_Word</group>
      <groupName>字词问题</groupName>
      <ability>L2_Typo</ability>
      <abilityName>字词错误</abilityName>
      <candidateList>
        <item>同一</item>
      </candidateList>
      <explain/>
      <paraID>4FF31701</paraID>
      <start>65</start>
      <end>66</end>
      <status>unmodified</status>
      <modifiedWord/>
      <trackRevisions>false</trackRevisions>
    </reviewItem>
    <reviewItem>
      <errorID>c5601564-37f9-4210-8ce8-45a02ea4c105</errorID>
      <errorWord>“/</errorWord>
      <group>L1_Punc</group>
      <groupName>标点问题</groupName>
      <ability>L2_Punc</ability>
      <abilityName>标点符号检查</abilityName>
      <candidateList>
        <item>“</item>
      </candidateList>
      <explain/>
      <paraID>47F48897</paraID>
      <start>36</start>
      <end>38</end>
      <status>unmodified</status>
      <modifiedWord/>
      <trackRevisions>false</trackRevisions>
    </reviewItem>
    <reviewItem>
      <errorID>40a172a6-c3d6-440d-b228-acbb6bdb1b78</errorID>
      <errorWord>（</errorWord>
      <group>L1_Punc</group>
      <groupName>标点问题</groupName>
      <ability>L2_Punc</ability>
      <abilityName>标点符号检查</abilityName>
      <candidateList/>
      <explain/>
      <paraID>357937A2</paraID>
      <start>44</start>
      <end>45</end>
      <status>unmodified</status>
      <modifiedWord/>
      <trackRevisions>false</trackRevisions>
    </reviewItem>
    <reviewItem>
      <errorID>c95258ea-f52b-4c96-9c19-837311b4db5c</errorID>
      <errorWord>［</errorWord>
      <group>L1_Punc</group>
      <groupName>标点问题</groupName>
      <ability>L2_Punc</ability>
      <abilityName>标点符号检查</abilityName>
      <candidateList/>
      <explain/>
      <paraID>616921A3</paraID>
      <start>137</start>
      <end>138</end>
      <status>unmodified</status>
      <modifiedWord/>
      <trackRevisions>false</trackRevisions>
    </reviewItem>
    <reviewItem>
      <errorID>091719ea-9818-425f-8567-bf859d6e1f92</errorID>
      <errorWord>]</errorWord>
      <group>L1_Punc</group>
      <groupName>标点问题</groupName>
      <ability>L2_Punc</ability>
      <abilityName>标点符号检查</abilityName>
      <candidateList/>
      <explain/>
      <paraID>616921A3</paraID>
      <start>142</start>
      <end>143</end>
      <status>unmodified</status>
      <modifiedWord/>
      <trackRevisions>false</trackRevisions>
    </reviewItem>
    <reviewItem>
      <errorID>cf20f9e2-890a-4d23-9e2c-b2af0b35aee4</errorID>
      <errorWord>屏幕</errorWord>
      <group>L1_Word</group>
      <groupName>字词问题</groupName>
      <ability>L2_Typo</ability>
      <abilityName>字词错误</abilityName>
      <candidateList>
        <item>屏</item>
      </candidateList>
      <explain/>
      <paraID>400608A3</paraID>
      <start>21</start>
      <end>23</end>
      <status>unmodified</status>
      <modifiedWord/>
      <trackRevisions>false</trackRevisions>
    </reviewItem>
    <reviewItem>
      <errorID>96b21504-28c8-49fe-821d-e0ff62df8e97</errorID>
      <errorWord>,</errorWord>
      <group>L1_Format</group>
      <groupName>格式问题</groupName>
      <ability>L2_HalfPunc</ability>
      <abilityName>全半角检查</abilityName>
      <candidateList>
        <item>，</item>
      </candidateList>
      <explain>文本全半角错误。</explain>
      <paraID>4286332D</paraID>
      <start>58</start>
      <end>59</end>
      <status>unmodified</status>
      <modifiedWord/>
      <trackRevisions>false</trackRevisions>
    </reviewItem>
    <reviewItem>
      <errorID>e7b3c7d4-a49a-4720-ade0-ecfd7caddb1d</errorID>
      <errorWord>面</errorWord>
      <group>L1_Word</group>
      <groupName>字词问题</groupName>
      <ability>L2_Typo</ability>
      <abilityName>字词错误</abilityName>
      <candidateList>
        <item>面和</item>
      </candidateList>
      <explain/>
      <paraID>77E68CA8</paraID>
      <start>22</start>
      <end>23</end>
      <status>unmodified</status>
      <modifiedWord/>
      <trackRevisions>false</trackRevisions>
    </reviewItem>
    <reviewItem>
      <errorID>d2ab9e7d-a752-4604-b4c6-d359fc4c3e34</errorID>
      <errorWord>,</errorWord>
      <group>L1_Format</group>
      <groupName>格式问题</groupName>
      <ability>L2_HalfPunc</ability>
      <abilityName>全半角检查</abilityName>
      <candidateList>
        <item>，</item>
      </candidateList>
      <explain>文本全半角错误。</explain>
      <paraID>2A78C5A7</paraID>
      <start>13</start>
      <end>14</end>
      <status>unmodified</status>
      <modifiedWord/>
      <trackRevisions>false</trackRevisions>
    </reviewItem>
    <reviewItem>
      <errorID>82f23831-72f8-4982-abf3-1a65cf6a3fff</errorID>
      <errorWord>WiFi</errorWord>
      <group>L1_Punc</group>
      <groupName>标点问题</groupName>
      <ability>L2_Punc</ability>
      <abilityName>标点符号检查</abilityName>
      <candidateList>
        <item>Wi-Fi</item>
      </candidateList>
      <explain/>
      <paraID>32FFB2A1</paraID>
      <start>27</start>
      <end>31</end>
      <status>unmodified</status>
      <modifiedWord/>
      <trackRevisions>false</trackRevisions>
    </reviewItem>
    <reviewItem>
      <errorID>70bf73b3-18c2-440a-9992-78824b224f98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14B6F1D8</paraID>
      <start>0</start>
      <end>2</end>
      <status>unmodified</status>
      <modifiedWord/>
      <trackRevisions>false</trackRevisions>
    </reviewItem>
    <reviewItem>
      <errorID>509f176e-5428-4b91-998b-82073b2cbd49</errorID>
      <errorWord>持</errorWord>
      <group>L1_Word</group>
      <groupName>字词问题</groupName>
      <ability>L2_Typo</ability>
      <abilityName>字词错误</abilityName>
      <candidateList>
        <item>持在</item>
      </candidateList>
      <explain/>
      <paraID>14B6F1D8</paraID>
      <start>15</start>
      <end>16</end>
      <status>unmodified</status>
      <modifiedWord/>
      <trackRevisions>false</trackRevisions>
    </reviewItem>
    <reviewItem>
      <errorID>2154daec-a352-4862-b248-f2e266c05e2e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4968AE14</paraID>
      <start>0</start>
      <end>2</end>
      <status>unmodified</status>
      <modifiedWord/>
      <trackRevisions>false</trackRevisions>
    </reviewItem>
    <reviewItem>
      <errorID>c67c43ee-568d-4bbd-aad3-3e617eb66520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A6F90CD</paraID>
      <start>0</start>
      <end>2</end>
      <status>unmodified</status>
      <modifiedWord/>
      <trackRevisions>false</trackRevisions>
    </reviewItem>
    <reviewItem>
      <errorID>d2717295-16ce-4aba-9400-29c8a7107ce0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7512AF48</paraID>
      <start>0</start>
      <end>2</end>
      <status>unmodified</status>
      <modifiedWord/>
      <trackRevisions>false</trackRevisions>
    </reviewItem>
    <reviewItem>
      <errorID>04f5285e-f2ac-40a3-9717-68159e4c9fb2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68DB60CE</paraID>
      <start>0</start>
      <end>2</end>
      <status>unmodified</status>
      <modifiedWord/>
      <trackRevisions>false</trackRevisions>
    </reviewItem>
    <reviewItem>
      <errorID>bf8f0528-2313-4439-a7f7-ccdb97cf12c9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5C06B03D</paraID>
      <start>0</start>
      <end>2</end>
      <status>unmodified</status>
      <modifiedWord/>
      <trackRevisions>false</trackRevisions>
    </reviewItem>
    <reviewItem>
      <errorID>e408c004-cb8b-4ba2-9f02-c17871465495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3A2E80B5</paraID>
      <start>0</start>
      <end>2</end>
      <status>unmodified</status>
      <modifiedWord/>
      <trackRevisions>false</trackRevisions>
    </reviewItem>
    <reviewItem>
      <errorID>1d9e219f-5562-4f65-8a79-f0517037a819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6F452874</paraID>
      <start>0</start>
      <end>2</end>
      <status>unmodified</status>
      <modifiedWord/>
      <trackRevisions>false</trackRevisions>
    </reviewItem>
    <reviewItem>
      <errorID>d7fee256-c3b8-4dba-b6f9-9857c5b89126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27C9A19B</paraID>
      <start>0</start>
      <end>2</end>
      <status>unmodified</status>
      <modifiedWord/>
      <trackRevisions>false</trackRevisions>
    </reviewItem>
    <reviewItem>
      <errorID>0db26326-a5ee-4db9-8a7a-936d2d90b580</errorID>
      <errorWord>;</errorWord>
      <group>L1_Format</group>
      <groupName>格式问题</groupName>
      <ability>L2_HalfPunc</ability>
      <abilityName>全半角检查</abilityName>
      <candidateList>
        <item>；</item>
      </candidateList>
      <explain>文本全半角错误。</explain>
      <paraID>FFFFFFFFDF6FEE1A</paraID>
      <start>15</start>
      <end>16</end>
      <status>unmodified</status>
      <modifiedWord/>
      <trackRevisions>false</trackRevisions>
    </reviewItem>
    <reviewItem>
      <errorID>9eef5370-ef4a-4c2f-a009-2b11eb6f7b4e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73DAA0D9</paraID>
      <start>0</start>
      <end>2</end>
      <status>unmodified</status>
      <modifiedWord/>
      <trackRevisions>false</trackRevisions>
    </reviewItem>
    <reviewItem>
      <errorID>366e0af0-f2cd-4ccc-bfde-01fcd6b4db97</errorID>
      <errorWord>拦载</errorWord>
      <group>L1_Word</group>
      <groupName>字词问题</groupName>
      <ability>L2_Typo</ability>
      <abilityName>字词错误</abilityName>
      <candidateList>
        <item>拦截</item>
      </candidateList>
      <explain/>
      <paraID> 3F3B4E2</paraID>
      <start>40</start>
      <end>42</end>
      <status>modified</status>
      <modifiedWord>拦截</modifiedWord>
      <trackRevisions>false</trackRevisions>
    </reviewItem>
    <reviewItem>
      <errorID>77d3cde9-b192-49f0-9af9-ed5d5a969c82</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376EF4C1</paraID>
      <start>33</start>
      <end>35</end>
      <status>ignored</status>
      <modifiedWord/>
      <trackRevisions>false</trackRevisions>
    </reviewItem>
    <reviewItem>
      <errorID>f2381c9d-6338-4c5c-934a-82180f7a2cf8</errorID>
      <errorWord>、以及</errorWord>
      <group>L1_Punc</group>
      <groupName>标点问题</groupName>
      <ability>L2_Punc</ability>
      <abilityName>标点符号检查</abilityName>
      <candidateList>
        <item>，以及</item>
      </candidateList>
      <explain>连接词前后不宜使用顿号，建议使用逗号。</explain>
      <paraID>1A501778</paraID>
      <start>26</start>
      <end>29</end>
      <status>modified</status>
      <modifiedWord>，以及</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256691-67f7-4c2b-bf8d-43a4850dece2}">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59</Pages>
  <Words>14800</Words>
  <Characters>15697</Characters>
  <Lines>71</Lines>
  <Paragraphs>88</Paragraphs>
  <TotalTime>1</TotalTime>
  <ScaleCrop>false</ScaleCrop>
  <LinksUpToDate>false</LinksUpToDate>
  <CharactersWithSpaces>15973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2020-11-19T07:35:00Z</dcterms:created>
  <dc:creator>宋雨沥</dc:creator>
  <cp:lastModifiedBy>开疆拓土</cp:lastModifiedBy>
  <cp:lastPrinted>2025-12-22T07:54:00Z</cp:lastPrinted>
  <dcterms:modified xsi:type="dcterms:W3CDTF">2025-12-25T06:38:54Z</dcterms:modified>
  <cp:revision>753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57236660C9C743209E81464DC0CB4826_13</vt:lpwstr>
  </property>
  <property fmtid="{D5CDD505-2E9C-101B-9397-08002B2CF9AE}" pid="4" name="KSOTemplateDocerSaveRecord">
    <vt:lpwstr>eyJoZGlkIjoiMzY0NmY2YTUxN2RlMDNlOWM5NzM4ODhhNWJkMDBiMWIiLCJ1c2VySWQiOiIyODIxMzYxNjIifQ==</vt:lpwstr>
  </property>
</Properties>
</file>